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31862" w14:textId="77777777" w:rsidR="00AF0095" w:rsidRDefault="00AF0095" w:rsidP="00AF0095">
      <w:pPr>
        <w:pStyle w:val="Titre"/>
        <w:spacing w:line="276" w:lineRule="auto"/>
        <w:jc w:val="center"/>
      </w:pPr>
    </w:p>
    <w:p w14:paraId="64315689" w14:textId="77777777" w:rsidR="00AF0095" w:rsidRDefault="00AF0095" w:rsidP="00AF0095">
      <w:pPr>
        <w:pStyle w:val="Titre"/>
        <w:spacing w:line="276" w:lineRule="auto"/>
        <w:jc w:val="center"/>
      </w:pPr>
    </w:p>
    <w:p w14:paraId="740F154E" w14:textId="2EBB5825" w:rsidR="00AF0095" w:rsidRDefault="00AF0095" w:rsidP="00AF0095">
      <w:pPr>
        <w:pStyle w:val="Titre"/>
        <w:spacing w:line="276" w:lineRule="auto"/>
        <w:jc w:val="center"/>
      </w:pPr>
      <w:r>
        <w:t>Plan de développement de la pêche au saumon et de la pêche sportive au Québec 2017-2022</w:t>
      </w:r>
    </w:p>
    <w:p w14:paraId="01B14DA5" w14:textId="77777777" w:rsidR="00AF0095" w:rsidRDefault="00AF0095" w:rsidP="00AF0095"/>
    <w:p w14:paraId="09FC739C" w14:textId="77777777" w:rsidR="00AF0095" w:rsidRDefault="00AF0095" w:rsidP="00AF0095"/>
    <w:p w14:paraId="34EBD1C9" w14:textId="77777777" w:rsidR="00AF0095" w:rsidRPr="002F26C9" w:rsidRDefault="00AF0095" w:rsidP="00AF0095">
      <w:pPr>
        <w:rPr>
          <w:sz w:val="24"/>
        </w:rPr>
      </w:pPr>
    </w:p>
    <w:p w14:paraId="6E3913B2" w14:textId="61CF02F4" w:rsidR="00AF0095" w:rsidRDefault="00AF0095" w:rsidP="00AF0095">
      <w:pPr>
        <w:pStyle w:val="Titre"/>
        <w:jc w:val="center"/>
        <w:rPr>
          <w:sz w:val="48"/>
          <w:szCs w:val="48"/>
        </w:rPr>
      </w:pPr>
      <w:r w:rsidRPr="002F26C9">
        <w:rPr>
          <w:sz w:val="48"/>
          <w:szCs w:val="48"/>
        </w:rPr>
        <w:t>Fonds d’aide pour la protection des rivières à saumon</w:t>
      </w:r>
      <w:r w:rsidR="002F26C9" w:rsidRPr="002F26C9">
        <w:rPr>
          <w:sz w:val="48"/>
          <w:szCs w:val="48"/>
        </w:rPr>
        <w:t xml:space="preserve"> –</w:t>
      </w:r>
      <w:r w:rsidR="0038180C">
        <w:rPr>
          <w:sz w:val="48"/>
          <w:szCs w:val="48"/>
        </w:rPr>
        <w:t xml:space="preserve"> </w:t>
      </w:r>
      <w:r w:rsidR="0038180C" w:rsidRPr="0038180C">
        <w:rPr>
          <w:b/>
          <w:sz w:val="48"/>
          <w:szCs w:val="48"/>
        </w:rPr>
        <w:t>Formation et recyclage,</w:t>
      </w:r>
      <w:r w:rsidR="002F26C9" w:rsidRPr="002F26C9">
        <w:rPr>
          <w:sz w:val="48"/>
          <w:szCs w:val="48"/>
        </w:rPr>
        <w:t xml:space="preserve"> </w:t>
      </w:r>
      <w:r w:rsidR="002F26C9" w:rsidRPr="00AA4B61">
        <w:rPr>
          <w:b/>
          <w:sz w:val="48"/>
          <w:szCs w:val="48"/>
        </w:rPr>
        <w:t>Activités, Projets et équipements de protection</w:t>
      </w:r>
    </w:p>
    <w:p w14:paraId="676C3ADB" w14:textId="3E1ADB38" w:rsidR="006B7977" w:rsidRPr="00945500" w:rsidRDefault="006B7977" w:rsidP="006B7977">
      <w:pPr>
        <w:jc w:val="center"/>
        <w:rPr>
          <w:sz w:val="40"/>
          <w:szCs w:val="40"/>
        </w:rPr>
      </w:pPr>
      <w:r w:rsidRPr="00945500">
        <w:rPr>
          <w:sz w:val="40"/>
          <w:szCs w:val="40"/>
        </w:rPr>
        <w:t>&amp;</w:t>
      </w:r>
    </w:p>
    <w:p w14:paraId="4966A028" w14:textId="79D535A1" w:rsidR="002F26C9" w:rsidRPr="0038180C" w:rsidRDefault="009F6564" w:rsidP="002F26C9">
      <w:pPr>
        <w:pStyle w:val="Titre"/>
        <w:jc w:val="center"/>
        <w:rPr>
          <w:b/>
          <w:sz w:val="48"/>
          <w:szCs w:val="48"/>
        </w:rPr>
      </w:pPr>
      <w:r w:rsidRPr="0038180C">
        <w:rPr>
          <w:b/>
          <w:sz w:val="48"/>
          <w:szCs w:val="48"/>
        </w:rPr>
        <w:t>Financement</w:t>
      </w:r>
      <w:r w:rsidR="002F26C9" w:rsidRPr="0038180C">
        <w:rPr>
          <w:b/>
          <w:sz w:val="48"/>
          <w:szCs w:val="48"/>
        </w:rPr>
        <w:t xml:space="preserve"> des décomptes de saumon</w:t>
      </w:r>
    </w:p>
    <w:p w14:paraId="1EB59524" w14:textId="77777777" w:rsidR="00AF0095" w:rsidRDefault="00AF0095" w:rsidP="00AF0095"/>
    <w:p w14:paraId="37275B1F" w14:textId="77777777" w:rsidR="00AF0095" w:rsidRPr="00B310F7" w:rsidRDefault="00AF0095" w:rsidP="00AF0095"/>
    <w:p w14:paraId="7BDF9451" w14:textId="77777777" w:rsidR="00AF0095" w:rsidRDefault="00AF0095" w:rsidP="00AF0095">
      <w:pPr>
        <w:pStyle w:val="Titre"/>
        <w:jc w:val="center"/>
      </w:pPr>
      <w:r>
        <w:t>Guide du demandeur</w:t>
      </w:r>
    </w:p>
    <w:p w14:paraId="4B49E262" w14:textId="0FB9B59A" w:rsidR="00AF0095" w:rsidRDefault="00AF0095" w:rsidP="00AF0095">
      <w:pPr>
        <w:jc w:val="center"/>
        <w:rPr>
          <w:rFonts w:asciiTheme="majorHAnsi" w:eastAsiaTheme="majorEastAsia" w:hAnsiTheme="majorHAnsi" w:cstheme="majorBidi"/>
          <w:spacing w:val="-10"/>
          <w:kern w:val="28"/>
          <w:sz w:val="56"/>
          <w:szCs w:val="56"/>
        </w:rPr>
      </w:pPr>
    </w:p>
    <w:p w14:paraId="62789741" w14:textId="77777777" w:rsidR="00733541" w:rsidRDefault="00733541" w:rsidP="00AF0095">
      <w:pPr>
        <w:jc w:val="center"/>
        <w:rPr>
          <w:rFonts w:asciiTheme="majorHAnsi" w:eastAsiaTheme="majorEastAsia" w:hAnsiTheme="majorHAnsi" w:cstheme="majorBidi"/>
          <w:spacing w:val="-10"/>
          <w:kern w:val="28"/>
          <w:sz w:val="56"/>
          <w:szCs w:val="56"/>
        </w:rPr>
      </w:pPr>
    </w:p>
    <w:p w14:paraId="6C7EA649" w14:textId="77777777" w:rsidR="00AF0095" w:rsidRDefault="00AF0095" w:rsidP="00AF0095">
      <w:pPr>
        <w:jc w:val="center"/>
        <w:rPr>
          <w:rFonts w:asciiTheme="majorHAnsi" w:eastAsiaTheme="majorEastAsia" w:hAnsiTheme="majorHAnsi" w:cstheme="majorBidi"/>
          <w:spacing w:val="-10"/>
          <w:kern w:val="28"/>
          <w:sz w:val="56"/>
          <w:szCs w:val="56"/>
        </w:rPr>
      </w:pPr>
    </w:p>
    <w:p w14:paraId="36DC14F7" w14:textId="56F4DD2B" w:rsidR="0080005D" w:rsidRPr="006E5735" w:rsidRDefault="0080005D" w:rsidP="00733541">
      <w:pPr>
        <w:pStyle w:val="Titre1"/>
        <w:numPr>
          <w:ilvl w:val="0"/>
          <w:numId w:val="17"/>
        </w:numPr>
        <w:ind w:left="426"/>
        <w:jc w:val="both"/>
      </w:pPr>
      <w:bookmarkStart w:id="0" w:name="_Toc501113485"/>
      <w:bookmarkStart w:id="1" w:name="_Toc501113492"/>
      <w:r>
        <w:lastRenderedPageBreak/>
        <w:t>Fonds d’aide pour la protection des rivières à saumon</w:t>
      </w:r>
      <w:bookmarkEnd w:id="0"/>
    </w:p>
    <w:p w14:paraId="341D0BFE" w14:textId="77777777" w:rsidR="0080005D" w:rsidRDefault="0080005D" w:rsidP="0080005D">
      <w:pPr>
        <w:jc w:val="both"/>
      </w:pPr>
      <w:r w:rsidRPr="006E5735">
        <w:t>Dans un contexte de déclin de la ressource, le Fonds d’aide pour la protection des rivières à saumon</w:t>
      </w:r>
      <w:r>
        <w:t xml:space="preserve"> </w:t>
      </w:r>
      <w:r w:rsidRPr="006E5735">
        <w:t xml:space="preserve">est destiné essentiellement au soutien financier des corporations de gestion sans but lucratif dont la situation financière est précaire et qui assument la gestion d’une rivière à saumon en difficulté. Il s’inscrit dans une stratégie visant à consolider ces corporations afin de leur permettre d’atteindre </w:t>
      </w:r>
      <w:r>
        <w:t>l’autofinancement.</w:t>
      </w:r>
    </w:p>
    <w:p w14:paraId="5961D4F5" w14:textId="77777777" w:rsidR="0080005D" w:rsidRPr="006E5735" w:rsidRDefault="0080005D" w:rsidP="0080005D">
      <w:pPr>
        <w:pStyle w:val="Titre2"/>
        <w:jc w:val="both"/>
      </w:pPr>
      <w:bookmarkStart w:id="2" w:name="_Toc501113486"/>
      <w:r w:rsidRPr="006E5735">
        <w:rPr>
          <w:szCs w:val="24"/>
        </w:rPr>
        <w:t>O</w:t>
      </w:r>
      <w:r w:rsidRPr="006E5735">
        <w:t>bjectifs</w:t>
      </w:r>
      <w:bookmarkEnd w:id="2"/>
    </w:p>
    <w:p w14:paraId="19339200" w14:textId="77777777" w:rsidR="0080005D" w:rsidRPr="006E5735" w:rsidRDefault="0080005D" w:rsidP="0080005D">
      <w:pPr>
        <w:pStyle w:val="Paragraphedeliste"/>
        <w:numPr>
          <w:ilvl w:val="0"/>
          <w:numId w:val="4"/>
        </w:numPr>
        <w:jc w:val="both"/>
      </w:pPr>
      <w:r w:rsidRPr="006E5735">
        <w:t>Soutenir l’action des gestionnaires de rivières à saumon en matière de protection.</w:t>
      </w:r>
    </w:p>
    <w:p w14:paraId="6A74B90D" w14:textId="77777777" w:rsidR="0080005D" w:rsidRDefault="0080005D" w:rsidP="0080005D">
      <w:pPr>
        <w:pStyle w:val="Paragraphedeliste"/>
        <w:numPr>
          <w:ilvl w:val="0"/>
          <w:numId w:val="4"/>
        </w:numPr>
        <w:jc w:val="both"/>
      </w:pPr>
      <w:r w:rsidRPr="006E5735">
        <w:t>Participer à la conservation de la ressource</w:t>
      </w:r>
      <w:r>
        <w:t>.</w:t>
      </w:r>
    </w:p>
    <w:p w14:paraId="1AEC2AA0" w14:textId="77777777" w:rsidR="0080005D" w:rsidRPr="006E5735" w:rsidRDefault="0080005D" w:rsidP="0080005D">
      <w:pPr>
        <w:pStyle w:val="Paragraphedeliste"/>
        <w:numPr>
          <w:ilvl w:val="0"/>
          <w:numId w:val="4"/>
        </w:numPr>
        <w:jc w:val="both"/>
      </w:pPr>
      <w:r w:rsidRPr="006E5735">
        <w:t>Contribuer à la stabilité financière des organismes gestionnaires en difficulté.</w:t>
      </w:r>
    </w:p>
    <w:p w14:paraId="712BFC1C" w14:textId="77777777" w:rsidR="0080005D" w:rsidRPr="006E5735" w:rsidRDefault="0080005D" w:rsidP="0080005D">
      <w:pPr>
        <w:pStyle w:val="Titre2"/>
        <w:jc w:val="both"/>
      </w:pPr>
      <w:bookmarkStart w:id="3" w:name="_Toc501113487"/>
      <w:r w:rsidRPr="006E5735">
        <w:rPr>
          <w:szCs w:val="24"/>
        </w:rPr>
        <w:t>O</w:t>
      </w:r>
      <w:r w:rsidRPr="006E5735">
        <w:t>rganismes admissibles et critères d</w:t>
      </w:r>
      <w:r w:rsidRPr="006E5735">
        <w:rPr>
          <w:szCs w:val="24"/>
        </w:rPr>
        <w:t>’</w:t>
      </w:r>
      <w:r w:rsidRPr="006E5735">
        <w:t>admissibilité</w:t>
      </w:r>
      <w:bookmarkEnd w:id="3"/>
    </w:p>
    <w:p w14:paraId="3F73C305" w14:textId="77777777" w:rsidR="0080005D" w:rsidRDefault="0080005D" w:rsidP="0080005D">
      <w:pPr>
        <w:jc w:val="both"/>
      </w:pPr>
      <w:r>
        <w:t>Sont admissibles les corporations sans but lucratif à qui le ministre confie un mandat de gestion sur une rivière à saumon par :</w:t>
      </w:r>
    </w:p>
    <w:p w14:paraId="570D729A" w14:textId="77777777" w:rsidR="0080005D" w:rsidRDefault="0080005D" w:rsidP="0080005D">
      <w:pPr>
        <w:pStyle w:val="Paragraphedeliste"/>
        <w:numPr>
          <w:ilvl w:val="0"/>
          <w:numId w:val="9"/>
        </w:numPr>
        <w:jc w:val="both"/>
      </w:pPr>
      <w:proofErr w:type="gramStart"/>
      <w:r>
        <w:t>contrat</w:t>
      </w:r>
      <w:proofErr w:type="gramEnd"/>
      <w:r>
        <w:t xml:space="preserve"> d’autorisation (réserve faunique);</w:t>
      </w:r>
    </w:p>
    <w:p w14:paraId="39F26B57" w14:textId="77777777" w:rsidR="0080005D" w:rsidRDefault="0080005D" w:rsidP="0080005D">
      <w:pPr>
        <w:pStyle w:val="Paragraphedeliste"/>
        <w:numPr>
          <w:ilvl w:val="0"/>
          <w:numId w:val="9"/>
        </w:numPr>
        <w:jc w:val="both"/>
      </w:pPr>
      <w:proofErr w:type="gramStart"/>
      <w:r>
        <w:t>protocole</w:t>
      </w:r>
      <w:proofErr w:type="gramEnd"/>
      <w:r>
        <w:t xml:space="preserve"> d’entente aux fins de gestion d’une zone d’exploitation contrôlée (</w:t>
      </w:r>
      <w:proofErr w:type="spellStart"/>
      <w:r>
        <w:t>zec</w:t>
      </w:r>
      <w:proofErr w:type="spellEnd"/>
      <w:r>
        <w:t>);</w:t>
      </w:r>
    </w:p>
    <w:p w14:paraId="240CC9F0" w14:textId="77777777" w:rsidR="0080005D" w:rsidRDefault="0080005D" w:rsidP="0080005D">
      <w:pPr>
        <w:pStyle w:val="Paragraphedeliste"/>
        <w:numPr>
          <w:ilvl w:val="0"/>
          <w:numId w:val="9"/>
        </w:numPr>
        <w:jc w:val="both"/>
      </w:pPr>
      <w:proofErr w:type="gramStart"/>
      <w:r>
        <w:t>bail</w:t>
      </w:r>
      <w:proofErr w:type="gramEnd"/>
      <w:r>
        <w:t xml:space="preserve"> (pourvoirie);</w:t>
      </w:r>
    </w:p>
    <w:p w14:paraId="19ABD428" w14:textId="77777777" w:rsidR="0080005D" w:rsidRDefault="0080005D" w:rsidP="0080005D">
      <w:pPr>
        <w:pStyle w:val="Paragraphedeliste"/>
        <w:numPr>
          <w:ilvl w:val="0"/>
          <w:numId w:val="9"/>
        </w:numPr>
        <w:jc w:val="both"/>
      </w:pPr>
      <w:proofErr w:type="gramStart"/>
      <w:r>
        <w:t>protocole</w:t>
      </w:r>
      <w:proofErr w:type="gramEnd"/>
      <w:r>
        <w:t xml:space="preserve"> d’entente aux fins d’accessibilité et de gestion de la faune (art. 36 et 37 de la Loi sur la conservation et la mise en valeur de la faune (RLRQ, chapitre C-61.1)).</w:t>
      </w:r>
    </w:p>
    <w:p w14:paraId="6FF6BF72" w14:textId="77777777" w:rsidR="0080005D" w:rsidRPr="00B8364E" w:rsidRDefault="0080005D" w:rsidP="0080005D">
      <w:pPr>
        <w:jc w:val="both"/>
      </w:pPr>
      <w:r w:rsidRPr="00B8364E">
        <w:t>L’organisme doit</w:t>
      </w:r>
    </w:p>
    <w:p w14:paraId="681B6C1A" w14:textId="77777777" w:rsidR="0080005D" w:rsidRPr="00B8364E" w:rsidRDefault="0080005D" w:rsidP="0080005D">
      <w:pPr>
        <w:pStyle w:val="Paragraphedeliste"/>
        <w:numPr>
          <w:ilvl w:val="0"/>
          <w:numId w:val="10"/>
        </w:numPr>
        <w:jc w:val="both"/>
      </w:pPr>
      <w:proofErr w:type="gramStart"/>
      <w:r w:rsidRPr="00B8364E">
        <w:t>détenir</w:t>
      </w:r>
      <w:proofErr w:type="gramEnd"/>
      <w:r w:rsidRPr="00B8364E">
        <w:t xml:space="preserve"> un mandat de gestion de la pêche sur le territoire visé;</w:t>
      </w:r>
    </w:p>
    <w:p w14:paraId="7F0F0CAA" w14:textId="77777777" w:rsidR="0080005D" w:rsidRPr="00B8364E" w:rsidRDefault="0080005D" w:rsidP="0080005D">
      <w:pPr>
        <w:pStyle w:val="Paragraphedeliste"/>
        <w:numPr>
          <w:ilvl w:val="0"/>
          <w:numId w:val="10"/>
        </w:numPr>
        <w:jc w:val="both"/>
      </w:pPr>
      <w:proofErr w:type="gramStart"/>
      <w:r w:rsidRPr="00B8364E">
        <w:t>être</w:t>
      </w:r>
      <w:proofErr w:type="gramEnd"/>
      <w:r w:rsidRPr="00B8364E">
        <w:t xml:space="preserve"> dûment immatriculé au registre des entreprises;</w:t>
      </w:r>
    </w:p>
    <w:p w14:paraId="7F65D32F" w14:textId="609F7D88" w:rsidR="0080005D" w:rsidRDefault="0080005D" w:rsidP="0080005D">
      <w:pPr>
        <w:pStyle w:val="Paragraphedeliste"/>
        <w:numPr>
          <w:ilvl w:val="0"/>
          <w:numId w:val="10"/>
        </w:numPr>
        <w:jc w:val="both"/>
      </w:pPr>
      <w:proofErr w:type="gramStart"/>
      <w:r w:rsidRPr="00B8364E">
        <w:t>respecter</w:t>
      </w:r>
      <w:proofErr w:type="gramEnd"/>
      <w:r>
        <w:t xml:space="preserve"> les exigences fixées par le ministère des Forêts, de la Faune et des Parcs</w:t>
      </w:r>
      <w:r w:rsidR="00C30405">
        <w:t xml:space="preserve"> (MFFP)</w:t>
      </w:r>
      <w:r>
        <w:t xml:space="preserve"> (notamment, un plan de protection approuvé pour la saison en cours);</w:t>
      </w:r>
    </w:p>
    <w:p w14:paraId="0FF04A5D" w14:textId="62A70393" w:rsidR="0080005D" w:rsidRDefault="0080005D" w:rsidP="0080005D">
      <w:pPr>
        <w:pStyle w:val="Paragraphedeliste"/>
        <w:numPr>
          <w:ilvl w:val="0"/>
          <w:numId w:val="10"/>
        </w:numPr>
        <w:jc w:val="both"/>
      </w:pPr>
      <w:proofErr w:type="gramStart"/>
      <w:r>
        <w:t>s’être</w:t>
      </w:r>
      <w:proofErr w:type="gramEnd"/>
      <w:r>
        <w:t xml:space="preserve"> conformé, le cas échéant, aux modalités du présent Fonds d’aide lors des années antérieures, notamment par la production des documents demandés.</w:t>
      </w:r>
    </w:p>
    <w:p w14:paraId="177FECC3" w14:textId="43F814D7" w:rsidR="0038180C" w:rsidRPr="00D53D8E" w:rsidRDefault="0038180C" w:rsidP="00D53D8E">
      <w:pPr>
        <w:pStyle w:val="Titre2"/>
        <w:spacing w:before="240"/>
        <w:jc w:val="both"/>
        <w:rPr>
          <w:sz w:val="28"/>
          <w:szCs w:val="28"/>
        </w:rPr>
      </w:pPr>
      <w:r w:rsidRPr="0038180C">
        <w:rPr>
          <w:sz w:val="28"/>
          <w:szCs w:val="28"/>
        </w:rPr>
        <w:t>Volets 1 : formation et recyclage</w:t>
      </w:r>
    </w:p>
    <w:p w14:paraId="009656DF" w14:textId="77777777" w:rsidR="0038180C" w:rsidRDefault="0038180C" w:rsidP="0038180C">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ajorEastAsia" w:hAnsi="Calibri Light" w:cs="Calibri Light"/>
          <w:color w:val="2F5496"/>
          <w:sz w:val="26"/>
          <w:szCs w:val="26"/>
        </w:rPr>
        <w:t>Dépenses admissibles – Volet Formation et recyclage</w:t>
      </w:r>
      <w:r>
        <w:rPr>
          <w:rStyle w:val="eop"/>
          <w:rFonts w:ascii="Calibri Light" w:hAnsi="Calibri Light" w:cs="Calibri Light"/>
          <w:color w:val="2F5496"/>
          <w:sz w:val="26"/>
          <w:szCs w:val="26"/>
        </w:rPr>
        <w:t> </w:t>
      </w:r>
    </w:p>
    <w:p w14:paraId="228F68ED" w14:textId="085472CA" w:rsidR="0038180C" w:rsidRDefault="0038180C" w:rsidP="0038180C">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eastAsiaTheme="majorEastAsia" w:hAnsi="Calibri" w:cs="Calibri"/>
          <w:sz w:val="22"/>
          <w:szCs w:val="22"/>
        </w:rPr>
        <w:t>Les dépenses admissibles au volet Formation et recyclage du Fonds concernent les frais liés à la participation du personnel de protection de la faune à la formation et au recyclage offert par le MFFP, obligatoires à leur reconnaissance par celui-ci. Ces dépenses sont :</w:t>
      </w:r>
      <w:r>
        <w:rPr>
          <w:rStyle w:val="eop"/>
          <w:rFonts w:ascii="Calibri" w:hAnsi="Calibri" w:cs="Calibri"/>
          <w:sz w:val="22"/>
          <w:szCs w:val="22"/>
        </w:rPr>
        <w:t> </w:t>
      </w:r>
    </w:p>
    <w:p w14:paraId="2AC46914" w14:textId="77777777" w:rsidR="0038180C" w:rsidRDefault="0038180C" w:rsidP="0038180C">
      <w:pPr>
        <w:pStyle w:val="paragraph"/>
        <w:spacing w:before="0" w:beforeAutospacing="0" w:after="0" w:afterAutospacing="0"/>
        <w:jc w:val="both"/>
        <w:textAlignment w:val="baseline"/>
        <w:rPr>
          <w:rFonts w:ascii="Segoe UI" w:hAnsi="Segoe UI" w:cs="Segoe UI"/>
          <w:sz w:val="18"/>
          <w:szCs w:val="18"/>
        </w:rPr>
      </w:pPr>
    </w:p>
    <w:p w14:paraId="72B9239D" w14:textId="77777777" w:rsidR="0038180C" w:rsidRDefault="0038180C" w:rsidP="0038180C">
      <w:pPr>
        <w:pStyle w:val="paragraph"/>
        <w:numPr>
          <w:ilvl w:val="0"/>
          <w:numId w:val="18"/>
        </w:numPr>
        <w:spacing w:before="0" w:beforeAutospacing="0" w:after="0" w:afterAutospacing="0"/>
        <w:ind w:left="360" w:firstLine="0"/>
        <w:jc w:val="both"/>
        <w:textAlignment w:val="baseline"/>
        <w:rPr>
          <w:rFonts w:ascii="Calibri" w:hAnsi="Calibri" w:cs="Calibri"/>
          <w:sz w:val="22"/>
          <w:szCs w:val="22"/>
        </w:rPr>
      </w:pPr>
      <w:proofErr w:type="gramStart"/>
      <w:r>
        <w:rPr>
          <w:rStyle w:val="contextualspellingandgrammarerror"/>
          <w:rFonts w:ascii="Calibri" w:hAnsi="Calibri" w:cs="Calibri"/>
          <w:sz w:val="22"/>
          <w:szCs w:val="22"/>
        </w:rPr>
        <w:t>les</w:t>
      </w:r>
      <w:proofErr w:type="gramEnd"/>
      <w:r>
        <w:rPr>
          <w:rStyle w:val="normaltextrun"/>
          <w:rFonts w:ascii="Calibri" w:eastAsiaTheme="majorEastAsia" w:hAnsi="Calibri" w:cs="Calibri"/>
          <w:sz w:val="22"/>
          <w:szCs w:val="22"/>
        </w:rPr>
        <w:t> salaires et les avantages sociaux pendant la formation ou le recyclage;</w:t>
      </w:r>
      <w:r>
        <w:rPr>
          <w:rStyle w:val="eop"/>
          <w:rFonts w:ascii="Calibri" w:hAnsi="Calibri" w:cs="Calibri"/>
          <w:sz w:val="22"/>
          <w:szCs w:val="22"/>
        </w:rPr>
        <w:t> </w:t>
      </w:r>
    </w:p>
    <w:p w14:paraId="4398295F" w14:textId="77777777" w:rsidR="0038180C" w:rsidRDefault="0038180C" w:rsidP="0038180C">
      <w:pPr>
        <w:pStyle w:val="paragraph"/>
        <w:numPr>
          <w:ilvl w:val="0"/>
          <w:numId w:val="19"/>
        </w:numPr>
        <w:spacing w:before="0" w:beforeAutospacing="0" w:after="0" w:afterAutospacing="0"/>
        <w:ind w:left="360" w:firstLine="0"/>
        <w:jc w:val="both"/>
        <w:textAlignment w:val="baseline"/>
        <w:rPr>
          <w:rFonts w:ascii="Calibri" w:hAnsi="Calibri" w:cs="Calibri"/>
          <w:sz w:val="22"/>
          <w:szCs w:val="22"/>
        </w:rPr>
      </w:pPr>
      <w:proofErr w:type="gramStart"/>
      <w:r>
        <w:rPr>
          <w:rStyle w:val="contextualspellingandgrammarerror"/>
          <w:rFonts w:ascii="Calibri" w:hAnsi="Calibri" w:cs="Calibri"/>
          <w:sz w:val="22"/>
          <w:szCs w:val="22"/>
        </w:rPr>
        <w:t>les</w:t>
      </w:r>
      <w:proofErr w:type="gramEnd"/>
      <w:r>
        <w:rPr>
          <w:rStyle w:val="normaltextrun"/>
          <w:rFonts w:ascii="Calibri" w:eastAsiaTheme="majorEastAsia" w:hAnsi="Calibri" w:cs="Calibri"/>
          <w:sz w:val="22"/>
          <w:szCs w:val="22"/>
        </w:rPr>
        <w:t> frais d'hébergement, de repas et de transport;</w:t>
      </w:r>
      <w:r>
        <w:rPr>
          <w:rStyle w:val="eop"/>
          <w:rFonts w:ascii="Calibri" w:hAnsi="Calibri" w:cs="Calibri"/>
          <w:sz w:val="22"/>
          <w:szCs w:val="22"/>
        </w:rPr>
        <w:t> </w:t>
      </w:r>
    </w:p>
    <w:p w14:paraId="3F77EFF6" w14:textId="77777777" w:rsidR="0038180C" w:rsidRDefault="0038180C" w:rsidP="0038180C">
      <w:pPr>
        <w:pStyle w:val="paragraph"/>
        <w:numPr>
          <w:ilvl w:val="0"/>
          <w:numId w:val="19"/>
        </w:numPr>
        <w:spacing w:before="0" w:beforeAutospacing="0" w:after="0" w:afterAutospacing="0"/>
        <w:ind w:left="360" w:firstLine="0"/>
        <w:jc w:val="both"/>
        <w:textAlignment w:val="baseline"/>
        <w:rPr>
          <w:rFonts w:ascii="Calibri" w:hAnsi="Calibri" w:cs="Calibri"/>
          <w:sz w:val="22"/>
          <w:szCs w:val="22"/>
        </w:rPr>
      </w:pPr>
      <w:proofErr w:type="gramStart"/>
      <w:r>
        <w:rPr>
          <w:rStyle w:val="contextualspellingandgrammarerror"/>
          <w:rFonts w:ascii="Calibri" w:hAnsi="Calibri" w:cs="Calibri"/>
          <w:sz w:val="22"/>
          <w:szCs w:val="22"/>
        </w:rPr>
        <w:t>les</w:t>
      </w:r>
      <w:proofErr w:type="gramEnd"/>
      <w:r>
        <w:rPr>
          <w:rStyle w:val="normaltextrun"/>
          <w:rFonts w:ascii="Calibri" w:eastAsiaTheme="majorEastAsia" w:hAnsi="Calibri" w:cs="Calibri"/>
          <w:sz w:val="22"/>
          <w:szCs w:val="22"/>
        </w:rPr>
        <w:t> frais pour recherche d'antécédents judiciaires et photos pour le dossier.</w:t>
      </w:r>
      <w:r>
        <w:rPr>
          <w:rStyle w:val="eop"/>
          <w:rFonts w:ascii="Calibri" w:hAnsi="Calibri" w:cs="Calibri"/>
          <w:sz w:val="22"/>
          <w:szCs w:val="22"/>
        </w:rPr>
        <w:t> </w:t>
      </w:r>
    </w:p>
    <w:p w14:paraId="35FAEC89" w14:textId="77777777" w:rsidR="0038180C" w:rsidRDefault="0038180C" w:rsidP="0038180C">
      <w:pPr>
        <w:pStyle w:val="paragraph"/>
        <w:spacing w:before="0" w:beforeAutospacing="0" w:after="0" w:afterAutospacing="0"/>
        <w:textAlignment w:val="baseline"/>
        <w:rPr>
          <w:rStyle w:val="normaltextrun"/>
          <w:rFonts w:ascii="Calibri Light" w:eastAsiaTheme="majorEastAsia" w:hAnsi="Calibri Light" w:cs="Calibri Light"/>
          <w:color w:val="2F5496"/>
          <w:sz w:val="26"/>
          <w:szCs w:val="26"/>
        </w:rPr>
      </w:pPr>
    </w:p>
    <w:p w14:paraId="773D9106" w14:textId="4BFFF8DC" w:rsidR="0038180C" w:rsidRDefault="0038180C" w:rsidP="0038180C">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ajorEastAsia" w:hAnsi="Calibri Light" w:cs="Calibri Light"/>
          <w:color w:val="2F5496"/>
          <w:sz w:val="26"/>
          <w:szCs w:val="26"/>
        </w:rPr>
        <w:t>Modalités de versement de l’aide financière</w:t>
      </w:r>
      <w:r>
        <w:rPr>
          <w:rStyle w:val="eop"/>
          <w:rFonts w:ascii="Calibri Light" w:hAnsi="Calibri Light" w:cs="Calibri Light"/>
          <w:color w:val="2F5496"/>
          <w:sz w:val="26"/>
          <w:szCs w:val="26"/>
        </w:rPr>
        <w:t> </w:t>
      </w:r>
    </w:p>
    <w:p w14:paraId="0FF17929" w14:textId="77777777" w:rsidR="0038180C" w:rsidRDefault="0038180C" w:rsidP="00381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Le cas échéant, l’aide financière sera accordée en un seul versement. Celui-ci est effectué avant ou au début de la prochaine saison d'activité des organismes.</w:t>
      </w:r>
      <w:r>
        <w:rPr>
          <w:rStyle w:val="eop"/>
          <w:rFonts w:ascii="Calibri" w:hAnsi="Calibri" w:cs="Calibri"/>
          <w:sz w:val="22"/>
          <w:szCs w:val="22"/>
        </w:rPr>
        <w:t> </w:t>
      </w:r>
    </w:p>
    <w:p w14:paraId="1E155BF0" w14:textId="1F4444DD" w:rsidR="0038180C" w:rsidRDefault="0038180C" w:rsidP="0038180C">
      <w:pPr>
        <w:pStyle w:val="paragraph"/>
        <w:spacing w:before="0" w:beforeAutospacing="0" w:after="0" w:afterAutospacing="0"/>
        <w:textAlignment w:val="baseline"/>
        <w:rPr>
          <w:rStyle w:val="normaltextrun"/>
          <w:rFonts w:ascii="Calibri Light" w:eastAsiaTheme="majorEastAsia" w:hAnsi="Calibri Light" w:cs="Calibri Light"/>
          <w:color w:val="2F5496"/>
          <w:sz w:val="26"/>
          <w:szCs w:val="26"/>
        </w:rPr>
      </w:pPr>
    </w:p>
    <w:p w14:paraId="19129413" w14:textId="77777777" w:rsidR="00D53D8E" w:rsidRDefault="00D53D8E" w:rsidP="0038180C">
      <w:pPr>
        <w:pStyle w:val="paragraph"/>
        <w:spacing w:before="0" w:beforeAutospacing="0" w:after="0" w:afterAutospacing="0"/>
        <w:textAlignment w:val="baseline"/>
        <w:rPr>
          <w:rStyle w:val="normaltextrun"/>
          <w:rFonts w:ascii="Calibri Light" w:eastAsiaTheme="majorEastAsia" w:hAnsi="Calibri Light" w:cs="Calibri Light"/>
          <w:color w:val="2F5496"/>
          <w:sz w:val="26"/>
          <w:szCs w:val="26"/>
        </w:rPr>
      </w:pPr>
    </w:p>
    <w:p w14:paraId="3DC1D59D" w14:textId="76510AB9" w:rsidR="0038180C" w:rsidRDefault="0038180C" w:rsidP="0038180C">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eastAsiaTheme="majorEastAsia" w:hAnsi="Calibri Light" w:cs="Calibri Light"/>
          <w:color w:val="2F5496"/>
          <w:sz w:val="26"/>
          <w:szCs w:val="26"/>
        </w:rPr>
        <w:lastRenderedPageBreak/>
        <w:t>Reddition de comptes</w:t>
      </w:r>
      <w:r>
        <w:rPr>
          <w:rStyle w:val="eop"/>
          <w:rFonts w:ascii="Calibri Light" w:hAnsi="Calibri Light" w:cs="Calibri Light"/>
          <w:color w:val="2F5496"/>
          <w:sz w:val="26"/>
          <w:szCs w:val="26"/>
        </w:rPr>
        <w:t> </w:t>
      </w:r>
    </w:p>
    <w:p w14:paraId="2F400267" w14:textId="3474BC10" w:rsidR="0038180C" w:rsidRPr="0038180C" w:rsidRDefault="0038180C" w:rsidP="0038180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L’envoi du modèle de rapport et des instructions pour la reddition de comptes pour le volet Formation et recyclage des assistants à la protection de la faune se fera lors des appels à projets pour les volets Activités de protection et Projets et équipement. La reddition de comptes devra être présentée avec la demande de financement pour ces volets ou au plus tard à une date qui sera précisée au modèle de rapport. </w:t>
      </w:r>
      <w:r>
        <w:rPr>
          <w:rStyle w:val="normaltextrun"/>
          <w:rFonts w:ascii="Calibri" w:eastAsiaTheme="majorEastAsia" w:hAnsi="Calibri" w:cs="Calibri"/>
          <w:b/>
          <w:bCs/>
          <w:sz w:val="22"/>
          <w:szCs w:val="22"/>
        </w:rPr>
        <w:t>À cette fin, veuillez conserver toutes les pièces justificatives des dépenses pour lesquelles une aide financière sera octroyée dans le cadre du présent volet.</w:t>
      </w:r>
      <w:r>
        <w:rPr>
          <w:rStyle w:val="eop"/>
          <w:rFonts w:ascii="Calibri" w:hAnsi="Calibri" w:cs="Calibri"/>
          <w:sz w:val="22"/>
          <w:szCs w:val="22"/>
        </w:rPr>
        <w:t> </w:t>
      </w:r>
    </w:p>
    <w:p w14:paraId="2C34C7AF" w14:textId="3A728AA2" w:rsidR="00E477A6" w:rsidRPr="0038180C" w:rsidRDefault="002723B0" w:rsidP="0080005D">
      <w:pPr>
        <w:pStyle w:val="Titre2"/>
        <w:spacing w:before="240"/>
        <w:jc w:val="both"/>
        <w:rPr>
          <w:sz w:val="28"/>
          <w:szCs w:val="28"/>
        </w:rPr>
      </w:pPr>
      <w:r w:rsidRPr="0038180C">
        <w:rPr>
          <w:sz w:val="28"/>
          <w:szCs w:val="28"/>
        </w:rPr>
        <w:t xml:space="preserve">Volets </w:t>
      </w:r>
      <w:r w:rsidR="0038180C" w:rsidRPr="0038180C">
        <w:rPr>
          <w:sz w:val="28"/>
          <w:szCs w:val="28"/>
        </w:rPr>
        <w:t>2</w:t>
      </w:r>
      <w:r w:rsidRPr="0038180C">
        <w:rPr>
          <w:sz w:val="28"/>
          <w:szCs w:val="28"/>
        </w:rPr>
        <w:t xml:space="preserve"> et </w:t>
      </w:r>
      <w:r w:rsidR="0038180C" w:rsidRPr="0038180C">
        <w:rPr>
          <w:sz w:val="28"/>
          <w:szCs w:val="28"/>
        </w:rPr>
        <w:t>3</w:t>
      </w:r>
      <w:r w:rsidRPr="0038180C">
        <w:rPr>
          <w:sz w:val="28"/>
          <w:szCs w:val="28"/>
        </w:rPr>
        <w:t> : activités de protection</w:t>
      </w:r>
      <w:r w:rsidR="00320DB3" w:rsidRPr="0038180C">
        <w:rPr>
          <w:sz w:val="28"/>
          <w:szCs w:val="28"/>
        </w:rPr>
        <w:t xml:space="preserve">, </w:t>
      </w:r>
      <w:r w:rsidRPr="0038180C">
        <w:rPr>
          <w:sz w:val="28"/>
          <w:szCs w:val="28"/>
        </w:rPr>
        <w:t>projets et équipements de protection</w:t>
      </w:r>
      <w:bookmarkEnd w:id="1"/>
    </w:p>
    <w:p w14:paraId="2FA8ED43" w14:textId="77777777" w:rsidR="00383B50" w:rsidRDefault="006C7D8A" w:rsidP="00FB0BEA">
      <w:pPr>
        <w:pStyle w:val="Titre3"/>
        <w:jc w:val="both"/>
      </w:pPr>
      <w:bookmarkStart w:id="4" w:name="_Toc501113493"/>
      <w:r>
        <w:t>Dépenses admissibles</w:t>
      </w:r>
      <w:bookmarkEnd w:id="4"/>
    </w:p>
    <w:p w14:paraId="7EA2DF94" w14:textId="7FEBECC6" w:rsidR="00383B50" w:rsidRDefault="00383B50" w:rsidP="00FB0BEA">
      <w:pPr>
        <w:jc w:val="both"/>
      </w:pPr>
      <w:r>
        <w:t xml:space="preserve">VOLET </w:t>
      </w:r>
      <w:r w:rsidR="0038180C">
        <w:t>2</w:t>
      </w:r>
      <w:r w:rsidR="003C3C9E">
        <w:t xml:space="preserve"> – Activités de protection</w:t>
      </w:r>
      <w:r>
        <w:t xml:space="preserve"> : </w:t>
      </w:r>
    </w:p>
    <w:p w14:paraId="49683277" w14:textId="66A5DE67" w:rsidR="00383B50" w:rsidRDefault="003C3C9E" w:rsidP="00FB0BEA">
      <w:pPr>
        <w:pStyle w:val="Paragraphedeliste"/>
        <w:numPr>
          <w:ilvl w:val="0"/>
          <w:numId w:val="11"/>
        </w:numPr>
        <w:jc w:val="both"/>
      </w:pPr>
      <w:proofErr w:type="gramStart"/>
      <w:r>
        <w:t>salaires</w:t>
      </w:r>
      <w:proofErr w:type="gramEnd"/>
      <w:r>
        <w:t xml:space="preserve"> et avantages sociaux des </w:t>
      </w:r>
      <w:r w:rsidR="00383B50">
        <w:t xml:space="preserve">assistants à la protection de la faune et de gardiens de territoire </w:t>
      </w:r>
      <w:r>
        <w:t>d</w:t>
      </w:r>
      <w:r w:rsidR="00870336">
        <w:t>û</w:t>
      </w:r>
      <w:r>
        <w:t xml:space="preserve">ment formés, pour les heures de protection déclarées dans les rapports remis à la Direction régionale de la protection de la faune. </w:t>
      </w:r>
    </w:p>
    <w:p w14:paraId="3D64E941" w14:textId="4397FC9F" w:rsidR="00383B50" w:rsidRDefault="003C3C9E" w:rsidP="00FB0BEA">
      <w:pPr>
        <w:pStyle w:val="Paragraphedeliste"/>
        <w:numPr>
          <w:ilvl w:val="0"/>
          <w:numId w:val="11"/>
        </w:numPr>
        <w:jc w:val="both"/>
      </w:pPr>
      <w:proofErr w:type="gramStart"/>
      <w:r>
        <w:t>autres</w:t>
      </w:r>
      <w:proofErr w:type="gramEnd"/>
      <w:r>
        <w:t xml:space="preserve"> frais de </w:t>
      </w:r>
      <w:r w:rsidR="00383B50">
        <w:t xml:space="preserve">fonctionnement </w:t>
      </w:r>
      <w:r>
        <w:t xml:space="preserve">spécifiquement </w:t>
      </w:r>
      <w:r w:rsidR="00383B50">
        <w:t>lié</w:t>
      </w:r>
      <w:r>
        <w:t>s</w:t>
      </w:r>
      <w:r w:rsidR="00383B50">
        <w:t xml:space="preserve"> à la protection (notamment les frais de transport</w:t>
      </w:r>
      <w:r>
        <w:t xml:space="preserve"> pour la protection de la rivière à saumon, de cotisation à une escouade régionale de protection, etc.</w:t>
      </w:r>
      <w:r w:rsidR="00383B50">
        <w:t>).</w:t>
      </w:r>
    </w:p>
    <w:p w14:paraId="63553D46" w14:textId="011F8BB1" w:rsidR="00383B50" w:rsidRDefault="00383B50" w:rsidP="00FB0BEA">
      <w:pPr>
        <w:jc w:val="both"/>
      </w:pPr>
      <w:r>
        <w:t xml:space="preserve">VOLET </w:t>
      </w:r>
      <w:r w:rsidR="0038180C">
        <w:t>3</w:t>
      </w:r>
      <w:r>
        <w:t xml:space="preserve"> </w:t>
      </w:r>
      <w:r w:rsidR="003C3C9E">
        <w:t>– Projets et équipements de protection</w:t>
      </w:r>
    </w:p>
    <w:p w14:paraId="581C9E64" w14:textId="7E96048C" w:rsidR="00383B50" w:rsidRDefault="003C3C9E" w:rsidP="00FB0BEA">
      <w:pPr>
        <w:pStyle w:val="Paragraphedeliste"/>
        <w:numPr>
          <w:ilvl w:val="0"/>
          <w:numId w:val="12"/>
        </w:numPr>
        <w:jc w:val="both"/>
      </w:pPr>
      <w:proofErr w:type="gramStart"/>
      <w:r>
        <w:t>frais</w:t>
      </w:r>
      <w:proofErr w:type="gramEnd"/>
      <w:r>
        <w:t xml:space="preserve"> liés directement à la</w:t>
      </w:r>
      <w:r w:rsidR="00383B50">
        <w:t xml:space="preserve"> mise en place de projets ou à l’achat d’équipements visant à assurer une protection sur le territoire</w:t>
      </w:r>
      <w:r w:rsidR="006B7977">
        <w:t xml:space="preserve"> de pêche au saumon</w:t>
      </w:r>
      <w:r w:rsidR="00383B50">
        <w:t xml:space="preserve">. </w:t>
      </w:r>
      <w:r>
        <w:t>C</w:t>
      </w:r>
      <w:r w:rsidR="00383B50">
        <w:t xml:space="preserve">es projets ou équipements </w:t>
      </w:r>
      <w:r>
        <w:t xml:space="preserve">doivent servir spécifiquement à des activités de protection prévues au Plan de protection approuvé par </w:t>
      </w:r>
      <w:r w:rsidR="00383B50">
        <w:t>la Direction régionale de la protection de la faune de la région concernée</w:t>
      </w:r>
      <w:r>
        <w:t xml:space="preserve"> et les acquisitions doivent avoir été convenues avec elle</w:t>
      </w:r>
      <w:r w:rsidR="00383B50">
        <w:t>. Il peut s’agir, par exemple, de l’achat :</w:t>
      </w:r>
    </w:p>
    <w:p w14:paraId="5CF534BF" w14:textId="77777777" w:rsidR="00383B50" w:rsidRDefault="00383B50" w:rsidP="00FB0BEA">
      <w:pPr>
        <w:pStyle w:val="Paragraphedeliste"/>
        <w:numPr>
          <w:ilvl w:val="1"/>
          <w:numId w:val="12"/>
        </w:numPr>
        <w:jc w:val="both"/>
      </w:pPr>
      <w:proofErr w:type="gramStart"/>
      <w:r>
        <w:t>d’un</w:t>
      </w:r>
      <w:proofErr w:type="gramEnd"/>
      <w:r>
        <w:t xml:space="preserve"> système de caméras de surveillance;</w:t>
      </w:r>
    </w:p>
    <w:p w14:paraId="45F57C19" w14:textId="527030FF" w:rsidR="00383B50" w:rsidRDefault="00383B50" w:rsidP="00FB0BEA">
      <w:pPr>
        <w:pStyle w:val="Paragraphedeliste"/>
        <w:numPr>
          <w:ilvl w:val="1"/>
          <w:numId w:val="12"/>
        </w:numPr>
        <w:jc w:val="both"/>
      </w:pPr>
      <w:proofErr w:type="gramStart"/>
      <w:r>
        <w:t>d’un</w:t>
      </w:r>
      <w:proofErr w:type="gramEnd"/>
      <w:r>
        <w:t xml:space="preserve"> véhicule tout terrain nécessaire pour couvrir le territoire lors des activités de protection. Un organisme ne peut recevoir une aide financière pour une dépense liée à l’achat d’un véhicule qu’une seule fois dans le cadre du présent Fonds.</w:t>
      </w:r>
    </w:p>
    <w:p w14:paraId="75A69675" w14:textId="169E04EB" w:rsidR="00383B50" w:rsidRDefault="00383B50" w:rsidP="00FB0BEA">
      <w:pPr>
        <w:jc w:val="both"/>
      </w:pPr>
      <w:r>
        <w:t xml:space="preserve">L’aide financière pour l’achat d’équipement est limitée à 75% de la dépense admissible, pour un maximum de </w:t>
      </w:r>
      <w:r w:rsidR="00B3500E">
        <w:t>7 500</w:t>
      </w:r>
      <w:r w:rsidR="00EC56A0">
        <w:t xml:space="preserve"> $</w:t>
      </w:r>
      <w:r w:rsidR="00B3500E">
        <w:t>.</w:t>
      </w:r>
    </w:p>
    <w:p w14:paraId="321EB339" w14:textId="77777777" w:rsidR="00754F61" w:rsidRPr="00754F61" w:rsidRDefault="00754F61" w:rsidP="009F6564">
      <w:pPr>
        <w:pStyle w:val="Titre2"/>
      </w:pPr>
      <w:r w:rsidRPr="00754F61">
        <w:t>Évaluation des projets</w:t>
      </w:r>
    </w:p>
    <w:p w14:paraId="5ECE6972" w14:textId="77777777" w:rsidR="00754F61" w:rsidRPr="00754F61" w:rsidRDefault="00754F61" w:rsidP="00362AC4">
      <w:pPr>
        <w:jc w:val="both"/>
      </w:pPr>
      <w:r w:rsidRPr="00754F61">
        <w:t>L’aide financière sera octroyée sous forme de subvention selon l’évaluation qui sera faite par un comité de sélection des projets composé de représentants de chacun des organismes suivants :</w:t>
      </w:r>
    </w:p>
    <w:p w14:paraId="2FB02F27" w14:textId="77777777" w:rsidR="00754F61" w:rsidRPr="00754F61" w:rsidRDefault="00754F61" w:rsidP="00362AC4">
      <w:pPr>
        <w:pStyle w:val="Paragraphedeliste"/>
        <w:numPr>
          <w:ilvl w:val="0"/>
          <w:numId w:val="12"/>
        </w:numPr>
        <w:jc w:val="both"/>
      </w:pPr>
      <w:r w:rsidRPr="00754F61">
        <w:t>Fédération québécoise pour le saumon atlantique;</w:t>
      </w:r>
    </w:p>
    <w:p w14:paraId="150DC4DC" w14:textId="77777777" w:rsidR="00754F61" w:rsidRPr="00754F61" w:rsidRDefault="00754F61" w:rsidP="00362AC4">
      <w:pPr>
        <w:pStyle w:val="Paragraphedeliste"/>
        <w:numPr>
          <w:ilvl w:val="0"/>
          <w:numId w:val="12"/>
        </w:numPr>
        <w:jc w:val="both"/>
      </w:pPr>
      <w:r w:rsidRPr="00754F61">
        <w:t>Ministère des Forêts, de la Faune et des Parcs.</w:t>
      </w:r>
    </w:p>
    <w:p w14:paraId="4C45EFA8" w14:textId="77777777" w:rsidR="00754F61" w:rsidRPr="00754F61" w:rsidRDefault="00754F61" w:rsidP="00362AC4">
      <w:pPr>
        <w:jc w:val="both"/>
      </w:pPr>
      <w:r w:rsidRPr="00754F61">
        <w:t>Le comité de sélection des projets tiendra compte, dans son évaluation :</w:t>
      </w:r>
    </w:p>
    <w:p w14:paraId="3207E1AA" w14:textId="77777777" w:rsidR="00754F61" w:rsidRPr="00754F61" w:rsidRDefault="00754F61" w:rsidP="00362AC4">
      <w:pPr>
        <w:pStyle w:val="Paragraphedeliste"/>
        <w:numPr>
          <w:ilvl w:val="0"/>
          <w:numId w:val="12"/>
        </w:numPr>
        <w:jc w:val="both"/>
      </w:pPr>
      <w:proofErr w:type="gramStart"/>
      <w:r w:rsidRPr="00754F61">
        <w:t>du</w:t>
      </w:r>
      <w:proofErr w:type="gramEnd"/>
      <w:r w:rsidRPr="00754F61">
        <w:t xml:space="preserve"> niveau de population de saumons pour la rivière visée;</w:t>
      </w:r>
    </w:p>
    <w:p w14:paraId="7369043B" w14:textId="77777777" w:rsidR="00754F61" w:rsidRPr="00754F61" w:rsidRDefault="00754F61" w:rsidP="00362AC4">
      <w:pPr>
        <w:pStyle w:val="Paragraphedeliste"/>
        <w:numPr>
          <w:ilvl w:val="0"/>
          <w:numId w:val="12"/>
        </w:numPr>
        <w:jc w:val="both"/>
      </w:pPr>
      <w:proofErr w:type="gramStart"/>
      <w:r w:rsidRPr="00754F61">
        <w:t>de</w:t>
      </w:r>
      <w:proofErr w:type="gramEnd"/>
      <w:r w:rsidRPr="00754F61">
        <w:t xml:space="preserve"> la situation financière de la corporation de gestion;</w:t>
      </w:r>
    </w:p>
    <w:p w14:paraId="1ED44498" w14:textId="77777777" w:rsidR="00754F61" w:rsidRPr="00754F61" w:rsidRDefault="00754F61" w:rsidP="00362AC4">
      <w:pPr>
        <w:pStyle w:val="Paragraphedeliste"/>
        <w:numPr>
          <w:ilvl w:val="0"/>
          <w:numId w:val="12"/>
        </w:numPr>
        <w:jc w:val="both"/>
      </w:pPr>
      <w:proofErr w:type="gramStart"/>
      <w:r w:rsidRPr="00754F61">
        <w:t>du</w:t>
      </w:r>
      <w:proofErr w:type="gramEnd"/>
      <w:r w:rsidRPr="00754F61">
        <w:t xml:space="preserve"> degré de protection requis pour la rivière.</w:t>
      </w:r>
    </w:p>
    <w:p w14:paraId="7BA93467" w14:textId="14F7B30D" w:rsidR="00754F61" w:rsidRPr="00754F61" w:rsidRDefault="00754F61" w:rsidP="00754F61">
      <w:r w:rsidRPr="00754F61">
        <w:t>Les campagnes de financement réalisées par les organismes ne désavantagent pas ces derniers et sont plutôt vues comme des efforts pour atteindre l’autofinancement.</w:t>
      </w:r>
      <w:bookmarkStart w:id="5" w:name="_Toc501113496"/>
    </w:p>
    <w:p w14:paraId="0E171E06" w14:textId="7B554E99" w:rsidR="00CD307F" w:rsidRDefault="007226E9" w:rsidP="00EC56A0">
      <w:pPr>
        <w:pStyle w:val="Titre1"/>
        <w:numPr>
          <w:ilvl w:val="0"/>
          <w:numId w:val="17"/>
        </w:numPr>
        <w:ind w:left="426"/>
      </w:pPr>
      <w:r>
        <w:lastRenderedPageBreak/>
        <w:t>F</w:t>
      </w:r>
      <w:r w:rsidR="00E15F70">
        <w:t>inancement des d</w:t>
      </w:r>
      <w:r w:rsidR="00CD307F">
        <w:t>écomptes</w:t>
      </w:r>
      <w:bookmarkEnd w:id="5"/>
      <w:r>
        <w:t xml:space="preserve"> de saumon</w:t>
      </w:r>
    </w:p>
    <w:p w14:paraId="27E78115" w14:textId="77777777" w:rsidR="0071224F" w:rsidRDefault="00FB0BEA" w:rsidP="00D36478">
      <w:pPr>
        <w:pStyle w:val="Titre2"/>
      </w:pPr>
      <w:bookmarkStart w:id="6" w:name="_Toc501113497"/>
      <w:r>
        <w:t>O</w:t>
      </w:r>
      <w:r w:rsidR="002723B0">
        <w:t>bjectifs</w:t>
      </w:r>
      <w:bookmarkEnd w:id="6"/>
    </w:p>
    <w:p w14:paraId="774FBF3E" w14:textId="482486E6" w:rsidR="00D36478" w:rsidRDefault="00D36478" w:rsidP="00D36478">
      <w:pPr>
        <w:jc w:val="both"/>
      </w:pPr>
      <w:r>
        <w:t xml:space="preserve">L'objectif est de soutenir financièrement les </w:t>
      </w:r>
      <w:r w:rsidR="00D619CF">
        <w:t xml:space="preserve">organismes </w:t>
      </w:r>
      <w:r>
        <w:t xml:space="preserve">effectuant le dénombrement des saumons adultes. Il permet de souligner leur implication, parfois depuis de nombreuses années, dans la récolte de données utiles à la saine gestion de l'exploitation sportive du saumon et il se veut un incitatif pour les </w:t>
      </w:r>
      <w:r w:rsidR="009F2B89">
        <w:t xml:space="preserve">organismes </w:t>
      </w:r>
      <w:r>
        <w:t xml:space="preserve">n'effectuant actuellement aucun dénombrement à mettre en œuvre un suivi des montaisons sur leur territoire. </w:t>
      </w:r>
    </w:p>
    <w:p w14:paraId="4968ABB4" w14:textId="21CAFA28" w:rsidR="00D36478" w:rsidRDefault="00D36478" w:rsidP="00D36478">
      <w:pPr>
        <w:jc w:val="both"/>
      </w:pPr>
      <w:r>
        <w:t>Cet objectif s'inscrit dans le Plan de gestion du saumon atlantique 2016-2026, qui souligne le besoin de consolider le réseau de suivi des montaisons. En effet, les modalités prévues au plan de gestion nécessitent de connaître l'abondance des populations sur le plus grand nombre de rivières possible</w:t>
      </w:r>
      <w:r w:rsidR="00E15F70">
        <w:t>.</w:t>
      </w:r>
    </w:p>
    <w:p w14:paraId="4F8FEDBC" w14:textId="77777777" w:rsidR="00FB0BEA" w:rsidRDefault="002723B0" w:rsidP="00D36478">
      <w:pPr>
        <w:pStyle w:val="Titre2"/>
      </w:pPr>
      <w:bookmarkStart w:id="7" w:name="_Toc501113498"/>
      <w:r>
        <w:t>Organismes admissibles</w:t>
      </w:r>
      <w:bookmarkEnd w:id="7"/>
    </w:p>
    <w:p w14:paraId="5FA01ADD" w14:textId="3C580683" w:rsidR="00D36478" w:rsidRDefault="00D36478" w:rsidP="00D36478">
      <w:r>
        <w:t>Pour être admissible</w:t>
      </w:r>
      <w:r w:rsidR="00870336">
        <w:t>s</w:t>
      </w:r>
      <w:r>
        <w:t xml:space="preserve">, les </w:t>
      </w:r>
      <w:r w:rsidR="00D619CF">
        <w:t xml:space="preserve">organismes </w:t>
      </w:r>
      <w:r>
        <w:t>doivent satisfaire les conditions suivantes :</w:t>
      </w:r>
    </w:p>
    <w:p w14:paraId="1C337AC3" w14:textId="38FCE3D6" w:rsidR="00D36478" w:rsidRDefault="00D36478" w:rsidP="00D36478">
      <w:pPr>
        <w:pStyle w:val="Paragraphedeliste"/>
        <w:numPr>
          <w:ilvl w:val="0"/>
          <w:numId w:val="14"/>
        </w:numPr>
      </w:pPr>
      <w:proofErr w:type="gramStart"/>
      <w:r>
        <w:t>être</w:t>
      </w:r>
      <w:proofErr w:type="gramEnd"/>
      <w:r>
        <w:t xml:space="preserve"> </w:t>
      </w:r>
      <w:r w:rsidR="00D619CF">
        <w:t>dûment immatriculé au registre des entreprises;</w:t>
      </w:r>
    </w:p>
    <w:p w14:paraId="7DF94295" w14:textId="77777777" w:rsidR="00D36478" w:rsidRDefault="00D36478" w:rsidP="00D36478">
      <w:pPr>
        <w:pStyle w:val="Paragraphedeliste"/>
        <w:numPr>
          <w:ilvl w:val="0"/>
          <w:numId w:val="14"/>
        </w:numPr>
      </w:pPr>
      <w:proofErr w:type="gramStart"/>
      <w:r>
        <w:t>effectuer</w:t>
      </w:r>
      <w:proofErr w:type="gramEnd"/>
      <w:r>
        <w:t xml:space="preserve"> le dénombrement du saumon atlantique en montaison et transmettre les données à la direction régionale de la gestion de la faune concernée;</w:t>
      </w:r>
    </w:p>
    <w:p w14:paraId="5E7C53B9" w14:textId="2E2AC53D" w:rsidR="00D36478" w:rsidRPr="00D36478" w:rsidRDefault="00D36478" w:rsidP="00D36478">
      <w:pPr>
        <w:pStyle w:val="Paragraphedeliste"/>
        <w:numPr>
          <w:ilvl w:val="0"/>
          <w:numId w:val="14"/>
        </w:numPr>
      </w:pPr>
      <w:proofErr w:type="gramStart"/>
      <w:r>
        <w:t>s'être</w:t>
      </w:r>
      <w:proofErr w:type="gramEnd"/>
      <w:r>
        <w:t xml:space="preserve"> conformé au </w:t>
      </w:r>
      <w:r w:rsidR="00DC5678">
        <w:t>f</w:t>
      </w:r>
      <w:r>
        <w:t>inancement des décomptes de saumon dans les années précédentes, le cas échéant.</w:t>
      </w:r>
    </w:p>
    <w:p w14:paraId="62A4DB50" w14:textId="77777777" w:rsidR="00FB0BEA" w:rsidRDefault="00FB0BEA" w:rsidP="00D36478">
      <w:pPr>
        <w:pStyle w:val="Titre2"/>
      </w:pPr>
      <w:bookmarkStart w:id="8" w:name="_Toc501113499"/>
      <w:r>
        <w:t>D</w:t>
      </w:r>
      <w:r w:rsidR="002723B0">
        <w:t>épenses admissibles</w:t>
      </w:r>
      <w:r w:rsidR="00D36478">
        <w:rPr>
          <w:rStyle w:val="Appelnotedebasdep"/>
        </w:rPr>
        <w:footnoteReference w:id="1"/>
      </w:r>
      <w:bookmarkEnd w:id="8"/>
    </w:p>
    <w:p w14:paraId="697E769C" w14:textId="77777777" w:rsidR="00D36478" w:rsidRDefault="00D36478" w:rsidP="00D36478">
      <w:pPr>
        <w:pStyle w:val="Paragraphedeliste"/>
        <w:numPr>
          <w:ilvl w:val="0"/>
          <w:numId w:val="15"/>
        </w:numPr>
      </w:pPr>
      <w:proofErr w:type="gramStart"/>
      <w:r>
        <w:t>toute</w:t>
      </w:r>
      <w:proofErr w:type="gramEnd"/>
      <w:r>
        <w:t xml:space="preserve"> dépense liée au déploiement du matériel servant au dénombrement des saumons (ex. : installation d'une barrière de comptage);</w:t>
      </w:r>
    </w:p>
    <w:p w14:paraId="339923C0" w14:textId="77777777" w:rsidR="00D36478" w:rsidRDefault="00D36478" w:rsidP="00D36478">
      <w:pPr>
        <w:pStyle w:val="Paragraphedeliste"/>
        <w:numPr>
          <w:ilvl w:val="0"/>
          <w:numId w:val="15"/>
        </w:numPr>
      </w:pPr>
      <w:proofErr w:type="gramStart"/>
      <w:r>
        <w:t>salaire</w:t>
      </w:r>
      <w:proofErr w:type="gramEnd"/>
      <w:r>
        <w:t xml:space="preserve"> des employés effectuant le dénombrement lorsqu'ils sont affectés à cette tâche;</w:t>
      </w:r>
    </w:p>
    <w:p w14:paraId="14FD57DE" w14:textId="77777777" w:rsidR="00D36478" w:rsidRDefault="00D36478" w:rsidP="00D36478">
      <w:pPr>
        <w:pStyle w:val="Paragraphedeliste"/>
        <w:numPr>
          <w:ilvl w:val="0"/>
          <w:numId w:val="15"/>
        </w:numPr>
      </w:pPr>
      <w:proofErr w:type="gramStart"/>
      <w:r>
        <w:t>achat</w:t>
      </w:r>
      <w:proofErr w:type="gramEnd"/>
      <w:r>
        <w:t xml:space="preserve"> de matériel et entretien d'équipement lié au dénombrement</w:t>
      </w:r>
      <w:r w:rsidR="00A20D66">
        <w:rPr>
          <w:rStyle w:val="Appelnotedebasdep"/>
        </w:rPr>
        <w:footnoteReference w:id="2"/>
      </w:r>
      <w:r>
        <w:t>;</w:t>
      </w:r>
    </w:p>
    <w:p w14:paraId="56208E54" w14:textId="275ABAC2" w:rsidR="00D36478" w:rsidRDefault="00D36478" w:rsidP="00D36478">
      <w:pPr>
        <w:pStyle w:val="Paragraphedeliste"/>
        <w:numPr>
          <w:ilvl w:val="0"/>
          <w:numId w:val="15"/>
        </w:numPr>
      </w:pPr>
      <w:proofErr w:type="gramStart"/>
      <w:r>
        <w:t>dans</w:t>
      </w:r>
      <w:proofErr w:type="gramEnd"/>
      <w:r>
        <w:t xml:space="preserve"> le cas des décomptes en apnée, dépenses liées au dénombrement de fin de saison seulement;</w:t>
      </w:r>
    </w:p>
    <w:p w14:paraId="1391738B" w14:textId="42FF11DE" w:rsidR="00754F61" w:rsidRDefault="002C19BD" w:rsidP="007226E9">
      <w:pPr>
        <w:pStyle w:val="Paragraphedeliste"/>
        <w:numPr>
          <w:ilvl w:val="0"/>
          <w:numId w:val="15"/>
        </w:numPr>
      </w:pPr>
      <w:proofErr w:type="gramStart"/>
      <w:r>
        <w:t>autres</w:t>
      </w:r>
      <w:proofErr w:type="gramEnd"/>
      <w:r>
        <w:t xml:space="preserve"> frais liés au dénombrement déclarés par les organismes dans le formulaire de demande pour lesquels le comité d’évaluation convient de leur admissibilité.</w:t>
      </w:r>
    </w:p>
    <w:p w14:paraId="554C37FF" w14:textId="6AF0FE92" w:rsidR="00D877E6" w:rsidRDefault="00873040" w:rsidP="002B4171">
      <w:pPr>
        <w:pStyle w:val="Titre1"/>
        <w:numPr>
          <w:ilvl w:val="0"/>
          <w:numId w:val="17"/>
        </w:numPr>
        <w:ind w:left="426"/>
      </w:pPr>
      <w:bookmarkStart w:id="9" w:name="_Toc501113484"/>
      <w:r>
        <w:rPr>
          <w:noProof/>
          <w:lang w:eastAsia="fr-CA"/>
        </w:rPr>
        <mc:AlternateContent>
          <mc:Choice Requires="wps">
            <w:drawing>
              <wp:anchor distT="0" distB="0" distL="114300" distR="114300" simplePos="0" relativeHeight="251668480" behindDoc="1" locked="0" layoutInCell="1" allowOverlap="1" wp14:anchorId="02D006AF" wp14:editId="01BE205B">
                <wp:simplePos x="0" y="0"/>
                <wp:positionH relativeFrom="margin">
                  <wp:align>center</wp:align>
                </wp:positionH>
                <wp:positionV relativeFrom="paragraph">
                  <wp:posOffset>347478</wp:posOffset>
                </wp:positionV>
                <wp:extent cx="5450205" cy="790575"/>
                <wp:effectExtent l="0" t="0" r="0" b="9525"/>
                <wp:wrapTopAndBottom/>
                <wp:docPr id="5" name="Rectangle 5"/>
                <wp:cNvGraphicFramePr/>
                <a:graphic xmlns:a="http://schemas.openxmlformats.org/drawingml/2006/main">
                  <a:graphicData uri="http://schemas.microsoft.com/office/word/2010/wordprocessingShape">
                    <wps:wsp>
                      <wps:cNvSpPr/>
                      <wps:spPr>
                        <a:xfrm>
                          <a:off x="0" y="0"/>
                          <a:ext cx="5450205" cy="790575"/>
                        </a:xfrm>
                        <a:prstGeom prst="rect">
                          <a:avLst/>
                        </a:prstGeom>
                        <a:solidFill>
                          <a:schemeClr val="accent1">
                            <a:lumMod val="20000"/>
                            <a:lumOff val="80000"/>
                          </a:schemeClr>
                        </a:solidFill>
                        <a:ln>
                          <a:noFill/>
                        </a:ln>
                      </wps:spPr>
                      <wps:style>
                        <a:lnRef idx="2">
                          <a:schemeClr val="accent5"/>
                        </a:lnRef>
                        <a:fillRef idx="1">
                          <a:schemeClr val="lt1"/>
                        </a:fillRef>
                        <a:effectRef idx="0">
                          <a:schemeClr val="accent5"/>
                        </a:effectRef>
                        <a:fontRef idx="minor">
                          <a:schemeClr val="dk1"/>
                        </a:fontRef>
                      </wps:style>
                      <wps:txbx>
                        <w:txbxContent>
                          <w:p w14:paraId="115CF618" w14:textId="5A9B993F" w:rsidR="009F6564" w:rsidRDefault="009F6564" w:rsidP="00873040">
                            <w:pPr>
                              <w:jc w:val="center"/>
                            </w:pPr>
                            <w:r>
                              <w:t xml:space="preserve">Les demandes doivent être acheminées par courriel à la FQSA </w:t>
                            </w:r>
                            <w:r w:rsidR="002030D6" w:rsidRPr="00EC56A0">
                              <w:t>à</w:t>
                            </w:r>
                            <w:r>
                              <w:t xml:space="preserve"> l’adresse suivante : </w:t>
                            </w:r>
                            <w:r w:rsidR="002021D7">
                              <w:t>pdps</w:t>
                            </w:r>
                            <w:r>
                              <w:t>@fqsa.ca</w:t>
                            </w:r>
                          </w:p>
                          <w:p w14:paraId="3659A9D2" w14:textId="77777777" w:rsidR="009F6564" w:rsidRDefault="009F6564" w:rsidP="00873040">
                            <w:pPr>
                              <w:jc w:val="center"/>
                            </w:pPr>
                            <w:r w:rsidRPr="006E5735">
                              <w:rPr>
                                <w:szCs w:val="24"/>
                              </w:rPr>
                              <w:t>Les demandes reçues après cette échéance ne seront pas considérées.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D006AF" id="Rectangle 5" o:spid="_x0000_s1026" style="position:absolute;left:0;text-align:left;margin-left:0;margin-top:27.35pt;width:429.15pt;height:62.25pt;z-index:-2516480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" fillcolor="#d9e2f3 [660]" stroked="f" strokeweight="1pt">
                <v:textbox>
                  <w:txbxContent>
                    <w:p w14:paraId="115CF618" w14:textId="5A9B993F" w:rsidR="009F6564" w:rsidRDefault="009F6564" w:rsidP="00873040">
                      <w:pPr>
                        <w:jc w:val="center"/>
                      </w:pPr>
                      <w:r>
                        <w:t xml:space="preserve">Les demandes doivent être acheminées par courriel à la FQSA </w:t>
                      </w:r>
                      <w:r w:rsidR="002030D6" w:rsidRPr="00EC56A0">
                        <w:t>à</w:t>
                      </w:r>
                      <w:r>
                        <w:t xml:space="preserve"> l’adresse suivante : </w:t>
                      </w:r>
                      <w:r w:rsidR="002021D7">
                        <w:t>pdps</w:t>
                      </w:r>
                      <w:r>
                        <w:t>@fqsa.ca</w:t>
                      </w:r>
                    </w:p>
                    <w:p w14:paraId="3659A9D2" w14:textId="77777777" w:rsidR="009F6564" w:rsidRDefault="009F6564" w:rsidP="00873040">
                      <w:pPr>
                        <w:jc w:val="center"/>
                      </w:pPr>
                      <w:r w:rsidRPr="006E5735">
                        <w:rPr>
                          <w:szCs w:val="24"/>
                        </w:rPr>
                        <w:t>Les demandes reçues après cette échéance ne seront pas considérées.</w:t>
                      </w:r>
                    </w:p>
                  </w:txbxContent>
                </v:textbox>
                <w10:wrap type="topAndBottom" anchorx="margin"/>
              </v:rect>
            </w:pict>
          </mc:Fallback>
        </mc:AlternateContent>
      </w:r>
      <w:r w:rsidR="00D877E6" w:rsidRPr="002B4171">
        <w:rPr>
          <w:szCs w:val="24"/>
        </w:rPr>
        <w:t>P</w:t>
      </w:r>
      <w:r w:rsidR="00D877E6" w:rsidRPr="006E5735">
        <w:t>résentation des demandes</w:t>
      </w:r>
      <w:bookmarkEnd w:id="9"/>
    </w:p>
    <w:p w14:paraId="3A631E8D" w14:textId="3788F79A" w:rsidR="002B4171" w:rsidRPr="002B4171" w:rsidRDefault="002B4171" w:rsidP="002B4171"/>
    <w:p w14:paraId="0BBEEF9F" w14:textId="3A505992" w:rsidR="00D877E6" w:rsidRPr="006E5735" w:rsidRDefault="00D877E6" w:rsidP="00873040">
      <w:pPr>
        <w:spacing w:before="120"/>
        <w:jc w:val="both"/>
      </w:pPr>
      <w:r w:rsidRPr="006E5735">
        <w:t>Les organismes doivent obligatoirement inclure dans leur demande les documents suivants :</w:t>
      </w:r>
    </w:p>
    <w:p w14:paraId="36FB5C7C" w14:textId="77777777" w:rsidR="00D877E6" w:rsidRPr="006E5735" w:rsidRDefault="00D877E6" w:rsidP="00D877E6">
      <w:pPr>
        <w:pStyle w:val="Paragraphedeliste"/>
        <w:numPr>
          <w:ilvl w:val="0"/>
          <w:numId w:val="8"/>
        </w:numPr>
        <w:jc w:val="both"/>
      </w:pPr>
      <w:r w:rsidRPr="006E5735">
        <w:t>Le formulaire de demande d’aide financière rempli et signé;</w:t>
      </w:r>
    </w:p>
    <w:p w14:paraId="6417E3F3" w14:textId="07E8E8AC" w:rsidR="00D877E6" w:rsidRPr="004E04FF" w:rsidRDefault="00D877E6" w:rsidP="00D877E6">
      <w:pPr>
        <w:pStyle w:val="Paragraphedeliste"/>
        <w:numPr>
          <w:ilvl w:val="0"/>
          <w:numId w:val="8"/>
        </w:numPr>
        <w:jc w:val="both"/>
      </w:pPr>
      <w:r w:rsidRPr="006E5735">
        <w:lastRenderedPageBreak/>
        <w:t>Une résolution désignant la personne autorisée à agir au nom de l’organisme</w:t>
      </w:r>
      <w:r w:rsidR="00362AC4">
        <w:t>, si cette personne n’est pas le (la) directeur(</w:t>
      </w:r>
      <w:proofErr w:type="spellStart"/>
      <w:r w:rsidR="00362AC4">
        <w:t>trice</w:t>
      </w:r>
      <w:proofErr w:type="spellEnd"/>
      <w:r w:rsidR="00362AC4">
        <w:t xml:space="preserve">) général(e) ou le (la) président(e) de l’organisme ou la personne désignée pour la </w:t>
      </w:r>
      <w:r w:rsidR="00362AC4" w:rsidRPr="004E04FF">
        <w:t>demande d’aide financière pour le volet Formation du Fonds d’aide à la protection des rivières à saumon</w:t>
      </w:r>
      <w:r w:rsidRPr="004E04FF">
        <w:t>.</w:t>
      </w:r>
    </w:p>
    <w:p w14:paraId="6C3E8266" w14:textId="33D38ADE" w:rsidR="00DA7BFE" w:rsidRDefault="00DA7BFE" w:rsidP="00DA7BFE">
      <w:bookmarkStart w:id="10" w:name="_Hlk505242975"/>
      <w:bookmarkStart w:id="11" w:name="_Toc501113495"/>
      <w:r w:rsidRPr="007226E9">
        <w:t>De plus, l’organisme devra avoir fait parvenir ses états financiers au MFFP pour les années 2015, 2016</w:t>
      </w:r>
      <w:r w:rsidR="0038180C">
        <w:t xml:space="preserve">, </w:t>
      </w:r>
      <w:r w:rsidRPr="007226E9">
        <w:t>2017</w:t>
      </w:r>
      <w:r w:rsidR="0038180C">
        <w:t xml:space="preserve"> et 2018</w:t>
      </w:r>
      <w:r w:rsidRPr="007226E9">
        <w:t>, conformément à ce qui est prévu dans le protocole d’entente ou le contrat d’autorisation conclu avec ce ministère.</w:t>
      </w:r>
    </w:p>
    <w:bookmarkEnd w:id="10"/>
    <w:p w14:paraId="021D1E4D" w14:textId="02DCD64A" w:rsidR="00754F61" w:rsidRPr="007226E9" w:rsidRDefault="00754F61" w:rsidP="00EC56A0">
      <w:pPr>
        <w:pStyle w:val="Titre1"/>
        <w:numPr>
          <w:ilvl w:val="0"/>
          <w:numId w:val="17"/>
        </w:numPr>
        <w:ind w:left="426"/>
      </w:pPr>
      <w:r w:rsidRPr="007226E9">
        <w:t>Modalités de versement de l’aide financière</w:t>
      </w:r>
    </w:p>
    <w:p w14:paraId="32202F10" w14:textId="77777777" w:rsidR="00754F61" w:rsidRPr="007226E9" w:rsidRDefault="00754F61" w:rsidP="00754F61">
      <w:pPr>
        <w:jc w:val="both"/>
      </w:pPr>
      <w:r w:rsidRPr="007226E9">
        <w:t>Le cas échéant, l’aide financière sera accordée en deux versements distincts :</w:t>
      </w:r>
    </w:p>
    <w:p w14:paraId="3DA18E67" w14:textId="499DC050" w:rsidR="007226E9" w:rsidRDefault="00754F61" w:rsidP="004E04FF">
      <w:pPr>
        <w:pStyle w:val="Paragraphedeliste"/>
        <w:numPr>
          <w:ilvl w:val="0"/>
          <w:numId w:val="12"/>
        </w:numPr>
        <w:jc w:val="both"/>
      </w:pPr>
      <w:r w:rsidRPr="007226E9">
        <w:t xml:space="preserve">Le premier versement, représentant un maximum de 50 % des dépenses admissibles présentées pour le Volet </w:t>
      </w:r>
      <w:r w:rsidR="0038180C">
        <w:t>2</w:t>
      </w:r>
      <w:r w:rsidRPr="007226E9">
        <w:t xml:space="preserve"> du Fonds d’aide à la protection et </w:t>
      </w:r>
      <w:r w:rsidR="002C19BD">
        <w:t>pour le</w:t>
      </w:r>
      <w:r w:rsidR="007226E9">
        <w:t xml:space="preserve"> financement</w:t>
      </w:r>
      <w:r w:rsidRPr="007226E9">
        <w:t xml:space="preserve"> de</w:t>
      </w:r>
      <w:r w:rsidR="007226E9">
        <w:t>s</w:t>
      </w:r>
      <w:r w:rsidRPr="007226E9">
        <w:t xml:space="preserve"> décompte</w:t>
      </w:r>
      <w:r w:rsidR="007226E9">
        <w:t>s</w:t>
      </w:r>
      <w:r w:rsidRPr="007226E9">
        <w:t xml:space="preserve"> </w:t>
      </w:r>
      <w:r w:rsidR="00DC5678">
        <w:t xml:space="preserve">de </w:t>
      </w:r>
      <w:r w:rsidRPr="007226E9">
        <w:t>saumon, sera effectué à la suite de l’annonce du montant accordé;</w:t>
      </w:r>
    </w:p>
    <w:p w14:paraId="61AB7D39" w14:textId="2F81102A" w:rsidR="00754F61" w:rsidRDefault="00754F61" w:rsidP="004E04FF">
      <w:pPr>
        <w:pStyle w:val="Paragraphedeliste"/>
        <w:numPr>
          <w:ilvl w:val="0"/>
          <w:numId w:val="12"/>
        </w:numPr>
        <w:jc w:val="both"/>
      </w:pPr>
      <w:r w:rsidRPr="007226E9">
        <w:t xml:space="preserve">Le second versement sera effectué après la saison d’opération, à la suite du dépôt par l’organisme d’un rapport final et inclura, au maximum, le solde de la subvention accordée pour le volet </w:t>
      </w:r>
      <w:r w:rsidR="0038180C">
        <w:t>2</w:t>
      </w:r>
      <w:r w:rsidRPr="007226E9">
        <w:t xml:space="preserve"> du Fonds d’aide à la protection et </w:t>
      </w:r>
      <w:r w:rsidR="002C19BD">
        <w:t>pour le</w:t>
      </w:r>
      <w:r w:rsidRPr="007226E9">
        <w:t xml:space="preserve"> </w:t>
      </w:r>
      <w:r w:rsidR="007226E9">
        <w:t>financement des</w:t>
      </w:r>
      <w:r w:rsidRPr="007226E9">
        <w:t xml:space="preserve"> décompte</w:t>
      </w:r>
      <w:r w:rsidR="007226E9">
        <w:t>s</w:t>
      </w:r>
      <w:r w:rsidRPr="007226E9">
        <w:t xml:space="preserve"> </w:t>
      </w:r>
      <w:r w:rsidR="00DC5678">
        <w:t>de</w:t>
      </w:r>
      <w:r w:rsidRPr="007226E9">
        <w:t xml:space="preserve"> saumon </w:t>
      </w:r>
      <w:r w:rsidR="002C19BD">
        <w:t>ainsi que</w:t>
      </w:r>
      <w:r w:rsidR="002C19BD" w:rsidRPr="007226E9">
        <w:t xml:space="preserve"> </w:t>
      </w:r>
      <w:r w:rsidRPr="007226E9">
        <w:t xml:space="preserve">la totalité du montant octroyé pour le volet </w:t>
      </w:r>
      <w:r w:rsidR="0038180C">
        <w:t>3</w:t>
      </w:r>
      <w:r w:rsidRPr="007226E9">
        <w:t>.</w:t>
      </w:r>
    </w:p>
    <w:p w14:paraId="5319F929" w14:textId="6B376476" w:rsidR="0085708D" w:rsidRDefault="0085708D" w:rsidP="00EC56A0">
      <w:pPr>
        <w:pStyle w:val="Titre1"/>
        <w:numPr>
          <w:ilvl w:val="0"/>
          <w:numId w:val="17"/>
        </w:numPr>
        <w:ind w:left="426"/>
      </w:pPr>
      <w:r>
        <w:t>Rapport final</w:t>
      </w:r>
      <w:bookmarkEnd w:id="11"/>
    </w:p>
    <w:p w14:paraId="267884F8" w14:textId="33C47AA1" w:rsidR="0085708D" w:rsidRDefault="0085708D" w:rsidP="0085708D">
      <w:pPr>
        <w:jc w:val="both"/>
      </w:pPr>
      <w:r>
        <w:t xml:space="preserve">Un rapport final doit être complété par l’organisme à la fin de la saison d’opération, à l’aide du gabarit fourni à cet effet. Il doit faire état des activités </w:t>
      </w:r>
      <w:r w:rsidR="00AC4498">
        <w:t xml:space="preserve">et des dépenses réalisées en matière </w:t>
      </w:r>
      <w:r>
        <w:t xml:space="preserve">de protection </w:t>
      </w:r>
      <w:r w:rsidR="00AC4498">
        <w:t xml:space="preserve">(incluant la formation) </w:t>
      </w:r>
      <w:r>
        <w:t xml:space="preserve">et de décomptes. Le rapport final, dûment rempli et accompagné des pièces et preuves requises, devra être acheminé à la FQSA. Si le rapport final </w:t>
      </w:r>
      <w:r w:rsidR="00733541">
        <w:t xml:space="preserve">n’est pas </w:t>
      </w:r>
      <w:proofErr w:type="gramStart"/>
      <w:r w:rsidR="00733541">
        <w:t>reçus</w:t>
      </w:r>
      <w:proofErr w:type="gramEnd"/>
      <w:r>
        <w:t xml:space="preserve">, le dernier versement ne sera pas octroyé. L’organisme doit se conformer aux exigences afin d’être de nouveau admissible </w:t>
      </w:r>
      <w:r w:rsidR="00E15F70">
        <w:t>aux prochaines</w:t>
      </w:r>
      <w:r>
        <w:t xml:space="preserve"> édition</w:t>
      </w:r>
      <w:r w:rsidR="00E15F70">
        <w:t>s</w:t>
      </w:r>
      <w:r>
        <w:t xml:space="preserve"> du Fonds d’aide et du financement des décomptes de saumon. </w:t>
      </w:r>
      <w:r w:rsidRPr="00870336">
        <w:rPr>
          <w:b/>
        </w:rPr>
        <w:t xml:space="preserve">Veuillez donc conserver </w:t>
      </w:r>
      <w:r w:rsidR="00E15F70">
        <w:rPr>
          <w:b/>
        </w:rPr>
        <w:t xml:space="preserve">pendant six (6) ans </w:t>
      </w:r>
      <w:r w:rsidRPr="00870336">
        <w:rPr>
          <w:b/>
        </w:rPr>
        <w:t>toutes les pièces justificatives des dépenses pour lesquelles une aide financière sera octroyée.</w:t>
      </w:r>
    </w:p>
    <w:p w14:paraId="2634CFF0" w14:textId="77777777" w:rsidR="0085708D" w:rsidRDefault="0085708D" w:rsidP="00A62B22">
      <w:pPr>
        <w:spacing w:line="276" w:lineRule="auto"/>
        <w:jc w:val="both"/>
      </w:pPr>
    </w:p>
    <w:p w14:paraId="206ADE41" w14:textId="67056689" w:rsidR="00A62B22" w:rsidRDefault="00A62B22" w:rsidP="00A62B22">
      <w:pPr>
        <w:spacing w:line="276" w:lineRule="auto"/>
        <w:jc w:val="both"/>
      </w:pPr>
      <w:r>
        <w:t>Pour toutes questions relatives a</w:t>
      </w:r>
      <w:r w:rsidR="00DC5678">
        <w:t>ux Fonds d’aide à la protection des rivières à saumon et au financement des décomptes de saumon</w:t>
      </w:r>
      <w:r>
        <w:t xml:space="preserve">, veuillez communiquer avec </w:t>
      </w:r>
      <w:r w:rsidR="002021D7">
        <w:t>Teddy Florin</w:t>
      </w:r>
      <w:r>
        <w:t>, coordonnat</w:t>
      </w:r>
      <w:r w:rsidR="002021D7">
        <w:t>eur</w:t>
      </w:r>
      <w:r>
        <w:t xml:space="preserve"> de programme</w:t>
      </w:r>
      <w:r w:rsidR="00870336">
        <w:t>s</w:t>
      </w:r>
      <w:r>
        <w:t xml:space="preserve"> à la FQSA.</w:t>
      </w:r>
    </w:p>
    <w:p w14:paraId="28C522AC" w14:textId="13A1448A" w:rsidR="00D877E6" w:rsidRPr="00D36478" w:rsidRDefault="002021D7" w:rsidP="00A62B22">
      <w:pPr>
        <w:spacing w:line="276" w:lineRule="auto"/>
        <w:jc w:val="center"/>
      </w:pPr>
      <w:r>
        <w:t>Teddy Florin</w:t>
      </w:r>
      <w:r w:rsidR="00A62B22">
        <w:br/>
      </w:r>
      <w:hyperlink r:id="rId11" w:history="1">
        <w:r w:rsidRPr="00AA5E38">
          <w:rPr>
            <w:rStyle w:val="Lienhypertexte"/>
          </w:rPr>
          <w:t>pdps@fqsa.ca</w:t>
        </w:r>
      </w:hyperlink>
      <w:r w:rsidR="00A62B22">
        <w:br/>
        <w:t>1 (418) 847-9191 poste 7</w:t>
      </w:r>
      <w:r w:rsidR="00A62B22">
        <w:br/>
        <w:t>Fédération québécoise pour le saumon atlantique</w:t>
      </w:r>
      <w:r w:rsidR="00A62B22">
        <w:br/>
      </w:r>
      <w:bookmarkStart w:id="12" w:name="_GoBack"/>
      <w:bookmarkEnd w:id="12"/>
    </w:p>
    <w:sectPr w:rsidR="00D877E6" w:rsidRPr="00D36478" w:rsidSect="0080005D">
      <w:headerReference w:type="default" r:id="rId12"/>
      <w:headerReference w:type="first" r:id="rId13"/>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15450" w14:textId="77777777" w:rsidR="00493BCD" w:rsidRDefault="00493BCD" w:rsidP="00D36478">
      <w:pPr>
        <w:spacing w:after="0" w:line="240" w:lineRule="auto"/>
      </w:pPr>
      <w:r>
        <w:separator/>
      </w:r>
    </w:p>
  </w:endnote>
  <w:endnote w:type="continuationSeparator" w:id="0">
    <w:p w14:paraId="3EAFA93D" w14:textId="77777777" w:rsidR="00493BCD" w:rsidRDefault="00493BCD" w:rsidP="00D3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loult_Cond_Demi_Gras">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0DC09" w14:textId="77777777" w:rsidR="00493BCD" w:rsidRDefault="00493BCD" w:rsidP="00D36478">
      <w:pPr>
        <w:spacing w:after="0" w:line="240" w:lineRule="auto"/>
      </w:pPr>
      <w:r>
        <w:separator/>
      </w:r>
    </w:p>
  </w:footnote>
  <w:footnote w:type="continuationSeparator" w:id="0">
    <w:p w14:paraId="391C08A8" w14:textId="77777777" w:rsidR="00493BCD" w:rsidRDefault="00493BCD" w:rsidP="00D36478">
      <w:pPr>
        <w:spacing w:after="0" w:line="240" w:lineRule="auto"/>
      </w:pPr>
      <w:r>
        <w:continuationSeparator/>
      </w:r>
    </w:p>
  </w:footnote>
  <w:footnote w:id="1">
    <w:p w14:paraId="12071A50" w14:textId="33B560E3" w:rsidR="009F6564" w:rsidRPr="00A20D66" w:rsidRDefault="009F6564" w:rsidP="00E15F70">
      <w:pPr>
        <w:pStyle w:val="Notedebasdepage"/>
        <w:jc w:val="both"/>
        <w:rPr>
          <w:sz w:val="18"/>
        </w:rPr>
      </w:pPr>
      <w:r w:rsidRPr="00A20D66">
        <w:rPr>
          <w:rStyle w:val="Appelnotedebasdep"/>
          <w:sz w:val="18"/>
        </w:rPr>
        <w:footnoteRef/>
      </w:r>
      <w:r w:rsidRPr="00A20D66">
        <w:rPr>
          <w:sz w:val="18"/>
        </w:rPr>
        <w:t xml:space="preserve"> Les frais admissibles ne doivent pas être couverts par une source de financement externe. Le formulaire permettra au délégataire demandeur d'inscrire les autres sources de financement obtenues pour la réalisation des décomptes (ex : financement d'un partenaire externe, revenus issus d'activités touristiques liées à l'observation du saumon dans un équipement servant au dénombrement, etc.).</w:t>
      </w:r>
    </w:p>
  </w:footnote>
  <w:footnote w:id="2">
    <w:p w14:paraId="35892FF4" w14:textId="77777777" w:rsidR="009F6564" w:rsidRDefault="009F6564" w:rsidP="00E15F70">
      <w:pPr>
        <w:pStyle w:val="Notedebasdepage"/>
        <w:jc w:val="both"/>
      </w:pPr>
      <w:r w:rsidRPr="00A20D66">
        <w:rPr>
          <w:rStyle w:val="Appelnotedebasdep"/>
          <w:sz w:val="18"/>
        </w:rPr>
        <w:footnoteRef/>
      </w:r>
      <w:r w:rsidRPr="00A20D66">
        <w:rPr>
          <w:sz w:val="18"/>
        </w:rPr>
        <w:t xml:space="preserve"> En ce qui a trait à l'entretien, la réfection de passe migratoire ou de structure visant à assurer la libre circulation du poisson en montaison n'est pas admissible. Seules les dépenses liées à l'entretien du matériel servant au dénombrement du poisson (ex. : cage de capture) sont admissibles.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6AA0" w14:textId="2339DAFD" w:rsidR="009F6564" w:rsidRDefault="009F65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A1402" w14:textId="77777777" w:rsidR="009F6564" w:rsidRDefault="009F65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42F"/>
    <w:multiLevelType w:val="hybridMultilevel"/>
    <w:tmpl w:val="51D031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5360A6"/>
    <w:multiLevelType w:val="hybridMultilevel"/>
    <w:tmpl w:val="DF4620C0"/>
    <w:lvl w:ilvl="0" w:tplc="18DE8250">
      <w:start w:val="1"/>
      <w:numFmt w:val="decimal"/>
      <w:lvlText w:val="%1."/>
      <w:lvlJc w:val="left"/>
      <w:pPr>
        <w:ind w:left="720" w:hanging="360"/>
      </w:pPr>
      <w:rPr>
        <w:rFonts w:ascii="Chaloult_Cond_Demi_Gras" w:hAnsi="Chaloult_Cond_Demi_Gras" w:cs="Chaloult_Cond_Demi_Gra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F9A01BE"/>
    <w:multiLevelType w:val="hybridMultilevel"/>
    <w:tmpl w:val="C5409AE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AFE1C35"/>
    <w:multiLevelType w:val="hybridMultilevel"/>
    <w:tmpl w:val="A29847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BCF705F"/>
    <w:multiLevelType w:val="hybridMultilevel"/>
    <w:tmpl w:val="00A04BB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28978DB"/>
    <w:multiLevelType w:val="hybridMultilevel"/>
    <w:tmpl w:val="6EFC40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9942190"/>
    <w:multiLevelType w:val="hybridMultilevel"/>
    <w:tmpl w:val="9C724E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BD808B0"/>
    <w:multiLevelType w:val="hybridMultilevel"/>
    <w:tmpl w:val="CBF03B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D07044F"/>
    <w:multiLevelType w:val="multilevel"/>
    <w:tmpl w:val="0BB8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BD6F1C"/>
    <w:multiLevelType w:val="hybridMultilevel"/>
    <w:tmpl w:val="B88AF472"/>
    <w:lvl w:ilvl="0" w:tplc="18DE8250">
      <w:start w:val="1"/>
      <w:numFmt w:val="decimal"/>
      <w:lvlText w:val="%1."/>
      <w:lvlJc w:val="left"/>
      <w:pPr>
        <w:ind w:left="720" w:hanging="360"/>
      </w:pPr>
      <w:rPr>
        <w:rFonts w:ascii="Chaloult_Cond_Demi_Gras" w:hAnsi="Chaloult_Cond_Demi_Gras" w:cs="Chaloult_Cond_Demi_Gra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50EA6B13"/>
    <w:multiLevelType w:val="hybridMultilevel"/>
    <w:tmpl w:val="2B5CDA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16B37A2"/>
    <w:multiLevelType w:val="hybridMultilevel"/>
    <w:tmpl w:val="83FE2DBC"/>
    <w:lvl w:ilvl="0" w:tplc="18DE8250">
      <w:start w:val="1"/>
      <w:numFmt w:val="decimal"/>
      <w:lvlText w:val="%1."/>
      <w:lvlJc w:val="left"/>
      <w:pPr>
        <w:ind w:left="720" w:hanging="360"/>
      </w:pPr>
      <w:rPr>
        <w:rFonts w:ascii="Chaloult_Cond_Demi_Gras" w:hAnsi="Chaloult_Cond_Demi_Gras" w:cs="Chaloult_Cond_Demi_Gra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8F744DA"/>
    <w:multiLevelType w:val="multilevel"/>
    <w:tmpl w:val="4E12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8B1E2F"/>
    <w:multiLevelType w:val="hybridMultilevel"/>
    <w:tmpl w:val="3DE4D1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D460501"/>
    <w:multiLevelType w:val="hybridMultilevel"/>
    <w:tmpl w:val="58865F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0F96E88"/>
    <w:multiLevelType w:val="hybridMultilevel"/>
    <w:tmpl w:val="49E078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2342054"/>
    <w:multiLevelType w:val="hybridMultilevel"/>
    <w:tmpl w:val="C43A8F7C"/>
    <w:lvl w:ilvl="0" w:tplc="18DE8250">
      <w:start w:val="1"/>
      <w:numFmt w:val="decimal"/>
      <w:lvlText w:val="%1."/>
      <w:lvlJc w:val="left"/>
      <w:pPr>
        <w:ind w:left="720" w:hanging="360"/>
      </w:pPr>
      <w:rPr>
        <w:rFonts w:ascii="Chaloult_Cond_Demi_Gras" w:hAnsi="Chaloult_Cond_Demi_Gras" w:cs="Chaloult_Cond_Demi_Gra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F9C0173"/>
    <w:multiLevelType w:val="hybridMultilevel"/>
    <w:tmpl w:val="7DBC28A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AB95A9E"/>
    <w:multiLevelType w:val="hybridMultilevel"/>
    <w:tmpl w:val="387A2AF0"/>
    <w:lvl w:ilvl="0" w:tplc="18DE8250">
      <w:start w:val="1"/>
      <w:numFmt w:val="decimal"/>
      <w:lvlText w:val="%1."/>
      <w:lvlJc w:val="left"/>
      <w:pPr>
        <w:ind w:left="720" w:hanging="360"/>
      </w:pPr>
      <w:rPr>
        <w:rFonts w:ascii="Chaloult_Cond_Demi_Gras" w:hAnsi="Chaloult_Cond_Demi_Gras" w:cs="Chaloult_Cond_Demi_Gra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17"/>
  </w:num>
  <w:num w:numId="3">
    <w:abstractNumId w:val="1"/>
  </w:num>
  <w:num w:numId="4">
    <w:abstractNumId w:val="7"/>
  </w:num>
  <w:num w:numId="5">
    <w:abstractNumId w:val="13"/>
  </w:num>
  <w:num w:numId="6">
    <w:abstractNumId w:val="16"/>
  </w:num>
  <w:num w:numId="7">
    <w:abstractNumId w:val="18"/>
  </w:num>
  <w:num w:numId="8">
    <w:abstractNumId w:val="9"/>
  </w:num>
  <w:num w:numId="9">
    <w:abstractNumId w:val="10"/>
  </w:num>
  <w:num w:numId="10">
    <w:abstractNumId w:val="3"/>
  </w:num>
  <w:num w:numId="11">
    <w:abstractNumId w:val="14"/>
  </w:num>
  <w:num w:numId="12">
    <w:abstractNumId w:val="4"/>
  </w:num>
  <w:num w:numId="13">
    <w:abstractNumId w:val="11"/>
  </w:num>
  <w:num w:numId="14">
    <w:abstractNumId w:val="6"/>
  </w:num>
  <w:num w:numId="15">
    <w:abstractNumId w:val="0"/>
  </w:num>
  <w:num w:numId="16">
    <w:abstractNumId w:val="15"/>
  </w:num>
  <w:num w:numId="17">
    <w:abstractNumId w:val="2"/>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D7"/>
    <w:rsid w:val="00042786"/>
    <w:rsid w:val="00047500"/>
    <w:rsid w:val="00060569"/>
    <w:rsid w:val="00074FF3"/>
    <w:rsid w:val="00080BD6"/>
    <w:rsid w:val="000E4D1F"/>
    <w:rsid w:val="00133D12"/>
    <w:rsid w:val="00141D6B"/>
    <w:rsid w:val="00147B66"/>
    <w:rsid w:val="0018622C"/>
    <w:rsid w:val="001F2F2D"/>
    <w:rsid w:val="002021D7"/>
    <w:rsid w:val="002030D6"/>
    <w:rsid w:val="002679FE"/>
    <w:rsid w:val="002723B0"/>
    <w:rsid w:val="002B4171"/>
    <w:rsid w:val="002C0642"/>
    <w:rsid w:val="002C19BD"/>
    <w:rsid w:val="002F1F0E"/>
    <w:rsid w:val="002F26C9"/>
    <w:rsid w:val="00320DB3"/>
    <w:rsid w:val="00324BB7"/>
    <w:rsid w:val="00333158"/>
    <w:rsid w:val="00362AC4"/>
    <w:rsid w:val="0038180C"/>
    <w:rsid w:val="00383B50"/>
    <w:rsid w:val="00392847"/>
    <w:rsid w:val="00394175"/>
    <w:rsid w:val="003C0119"/>
    <w:rsid w:val="003C0207"/>
    <w:rsid w:val="003C3C9E"/>
    <w:rsid w:val="003D2821"/>
    <w:rsid w:val="003E27A5"/>
    <w:rsid w:val="003E52D7"/>
    <w:rsid w:val="00424EE4"/>
    <w:rsid w:val="00493BCD"/>
    <w:rsid w:val="004E04FF"/>
    <w:rsid w:val="00523C51"/>
    <w:rsid w:val="0053484E"/>
    <w:rsid w:val="005467DB"/>
    <w:rsid w:val="00552E79"/>
    <w:rsid w:val="0058461F"/>
    <w:rsid w:val="00594660"/>
    <w:rsid w:val="005E1A7B"/>
    <w:rsid w:val="005E4348"/>
    <w:rsid w:val="005F20D0"/>
    <w:rsid w:val="00625EC7"/>
    <w:rsid w:val="006A3C2D"/>
    <w:rsid w:val="006B62D0"/>
    <w:rsid w:val="006B7977"/>
    <w:rsid w:val="006C7D8A"/>
    <w:rsid w:val="006E5735"/>
    <w:rsid w:val="006F4CAB"/>
    <w:rsid w:val="0070644C"/>
    <w:rsid w:val="0071224F"/>
    <w:rsid w:val="007226E9"/>
    <w:rsid w:val="00733541"/>
    <w:rsid w:val="007458A7"/>
    <w:rsid w:val="0075245F"/>
    <w:rsid w:val="00753931"/>
    <w:rsid w:val="00754C43"/>
    <w:rsid w:val="00754F61"/>
    <w:rsid w:val="00782251"/>
    <w:rsid w:val="00794219"/>
    <w:rsid w:val="00796C95"/>
    <w:rsid w:val="007F4AB6"/>
    <w:rsid w:val="0080005D"/>
    <w:rsid w:val="00834EFB"/>
    <w:rsid w:val="0085708D"/>
    <w:rsid w:val="00862A13"/>
    <w:rsid w:val="00870336"/>
    <w:rsid w:val="00873040"/>
    <w:rsid w:val="008A7E1F"/>
    <w:rsid w:val="00911E4D"/>
    <w:rsid w:val="00923212"/>
    <w:rsid w:val="00931488"/>
    <w:rsid w:val="00945500"/>
    <w:rsid w:val="00992BC3"/>
    <w:rsid w:val="00994FCD"/>
    <w:rsid w:val="009C7486"/>
    <w:rsid w:val="009F2B89"/>
    <w:rsid w:val="009F6564"/>
    <w:rsid w:val="00A20D66"/>
    <w:rsid w:val="00A45A0F"/>
    <w:rsid w:val="00A543BF"/>
    <w:rsid w:val="00A62B22"/>
    <w:rsid w:val="00AA4B61"/>
    <w:rsid w:val="00AC4498"/>
    <w:rsid w:val="00AF0095"/>
    <w:rsid w:val="00B3500E"/>
    <w:rsid w:val="00B8364E"/>
    <w:rsid w:val="00BC35E3"/>
    <w:rsid w:val="00C30405"/>
    <w:rsid w:val="00C31DD7"/>
    <w:rsid w:val="00C7162D"/>
    <w:rsid w:val="00CB457B"/>
    <w:rsid w:val="00CD307F"/>
    <w:rsid w:val="00CD4B96"/>
    <w:rsid w:val="00CE40B8"/>
    <w:rsid w:val="00CE766B"/>
    <w:rsid w:val="00D17646"/>
    <w:rsid w:val="00D36478"/>
    <w:rsid w:val="00D42C19"/>
    <w:rsid w:val="00D53D8E"/>
    <w:rsid w:val="00D619CF"/>
    <w:rsid w:val="00D70927"/>
    <w:rsid w:val="00D877E6"/>
    <w:rsid w:val="00DA7BFE"/>
    <w:rsid w:val="00DC445B"/>
    <w:rsid w:val="00DC5678"/>
    <w:rsid w:val="00E003DE"/>
    <w:rsid w:val="00E15F70"/>
    <w:rsid w:val="00E477A6"/>
    <w:rsid w:val="00EC56A0"/>
    <w:rsid w:val="00F24D53"/>
    <w:rsid w:val="00F377C2"/>
    <w:rsid w:val="00F722EE"/>
    <w:rsid w:val="00FB0BEA"/>
    <w:rsid w:val="00FC1F13"/>
    <w:rsid w:val="00FD416A"/>
    <w:rsid w:val="2E7874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66113"/>
  <w15:chartTrackingRefBased/>
  <w15:docId w15:val="{9D5295BF-6ABA-46AE-A04A-11BE0265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5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E5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83B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5735"/>
    <w:pPr>
      <w:ind w:left="720"/>
      <w:contextualSpacing/>
    </w:pPr>
  </w:style>
  <w:style w:type="character" w:customStyle="1" w:styleId="Titre1Car">
    <w:name w:val="Titre 1 Car"/>
    <w:basedOn w:val="Policepardfaut"/>
    <w:link w:val="Titre1"/>
    <w:uiPriority w:val="9"/>
    <w:rsid w:val="006E573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E573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383B50"/>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3C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C0119"/>
    <w:rPr>
      <w:sz w:val="16"/>
      <w:szCs w:val="16"/>
    </w:rPr>
  </w:style>
  <w:style w:type="paragraph" w:styleId="Commentaire">
    <w:name w:val="annotation text"/>
    <w:basedOn w:val="Normal"/>
    <w:link w:val="CommentaireCar"/>
    <w:uiPriority w:val="99"/>
    <w:semiHidden/>
    <w:unhideWhenUsed/>
    <w:rsid w:val="003C0119"/>
    <w:pPr>
      <w:spacing w:line="240" w:lineRule="auto"/>
    </w:pPr>
    <w:rPr>
      <w:sz w:val="20"/>
      <w:szCs w:val="20"/>
    </w:rPr>
  </w:style>
  <w:style w:type="character" w:customStyle="1" w:styleId="CommentaireCar">
    <w:name w:val="Commentaire Car"/>
    <w:basedOn w:val="Policepardfaut"/>
    <w:link w:val="Commentaire"/>
    <w:uiPriority w:val="99"/>
    <w:semiHidden/>
    <w:rsid w:val="003C0119"/>
    <w:rPr>
      <w:sz w:val="20"/>
      <w:szCs w:val="20"/>
    </w:rPr>
  </w:style>
  <w:style w:type="paragraph" w:styleId="Textedebulles">
    <w:name w:val="Balloon Text"/>
    <w:basedOn w:val="Normal"/>
    <w:link w:val="TextedebullesCar"/>
    <w:uiPriority w:val="99"/>
    <w:semiHidden/>
    <w:unhideWhenUsed/>
    <w:rsid w:val="003C011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0119"/>
    <w:rPr>
      <w:rFonts w:ascii="Segoe UI" w:hAnsi="Segoe UI" w:cs="Segoe UI"/>
      <w:sz w:val="18"/>
      <w:szCs w:val="18"/>
    </w:rPr>
  </w:style>
  <w:style w:type="paragraph" w:styleId="Notedebasdepage">
    <w:name w:val="footnote text"/>
    <w:basedOn w:val="Normal"/>
    <w:link w:val="NotedebasdepageCar"/>
    <w:uiPriority w:val="99"/>
    <w:semiHidden/>
    <w:unhideWhenUsed/>
    <w:rsid w:val="00D364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36478"/>
    <w:rPr>
      <w:sz w:val="20"/>
      <w:szCs w:val="20"/>
    </w:rPr>
  </w:style>
  <w:style w:type="character" w:styleId="Appelnotedebasdep">
    <w:name w:val="footnote reference"/>
    <w:basedOn w:val="Policepardfaut"/>
    <w:uiPriority w:val="99"/>
    <w:semiHidden/>
    <w:unhideWhenUsed/>
    <w:rsid w:val="00D36478"/>
    <w:rPr>
      <w:vertAlign w:val="superscript"/>
    </w:rPr>
  </w:style>
  <w:style w:type="paragraph" w:styleId="En-ttedetabledesmatires">
    <w:name w:val="TOC Heading"/>
    <w:basedOn w:val="Titre1"/>
    <w:next w:val="Normal"/>
    <w:uiPriority w:val="39"/>
    <w:unhideWhenUsed/>
    <w:qFormat/>
    <w:rsid w:val="00A20D66"/>
    <w:pPr>
      <w:outlineLvl w:val="9"/>
    </w:pPr>
    <w:rPr>
      <w:lang w:eastAsia="fr-CA"/>
    </w:rPr>
  </w:style>
  <w:style w:type="paragraph" w:styleId="TM1">
    <w:name w:val="toc 1"/>
    <w:basedOn w:val="Normal"/>
    <w:next w:val="Normal"/>
    <w:autoRedefine/>
    <w:uiPriority w:val="39"/>
    <w:unhideWhenUsed/>
    <w:rsid w:val="00A20D66"/>
    <w:pPr>
      <w:spacing w:after="100"/>
    </w:pPr>
  </w:style>
  <w:style w:type="paragraph" w:styleId="TM2">
    <w:name w:val="toc 2"/>
    <w:basedOn w:val="Normal"/>
    <w:next w:val="Normal"/>
    <w:autoRedefine/>
    <w:uiPriority w:val="39"/>
    <w:unhideWhenUsed/>
    <w:rsid w:val="00A20D66"/>
    <w:pPr>
      <w:spacing w:after="100"/>
      <w:ind w:left="220"/>
    </w:pPr>
  </w:style>
  <w:style w:type="paragraph" w:styleId="TM3">
    <w:name w:val="toc 3"/>
    <w:basedOn w:val="Normal"/>
    <w:next w:val="Normal"/>
    <w:autoRedefine/>
    <w:uiPriority w:val="39"/>
    <w:unhideWhenUsed/>
    <w:rsid w:val="00A20D66"/>
    <w:pPr>
      <w:spacing w:after="100"/>
      <w:ind w:left="440"/>
    </w:pPr>
  </w:style>
  <w:style w:type="character" w:styleId="Lienhypertexte">
    <w:name w:val="Hyperlink"/>
    <w:basedOn w:val="Policepardfaut"/>
    <w:uiPriority w:val="99"/>
    <w:unhideWhenUsed/>
    <w:rsid w:val="00A20D66"/>
    <w:rPr>
      <w:color w:val="0563C1" w:themeColor="hyperlink"/>
      <w:u w:val="single"/>
    </w:rPr>
  </w:style>
  <w:style w:type="paragraph" w:styleId="Titre">
    <w:name w:val="Title"/>
    <w:basedOn w:val="Normal"/>
    <w:next w:val="Normal"/>
    <w:link w:val="TitreCar"/>
    <w:uiPriority w:val="10"/>
    <w:qFormat/>
    <w:rsid w:val="00D877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877E6"/>
    <w:rPr>
      <w:rFonts w:asciiTheme="majorHAnsi" w:eastAsiaTheme="majorEastAsia" w:hAnsiTheme="majorHAnsi" w:cstheme="majorBidi"/>
      <w:spacing w:val="-10"/>
      <w:kern w:val="28"/>
      <w:sz w:val="56"/>
      <w:szCs w:val="56"/>
    </w:rPr>
  </w:style>
  <w:style w:type="paragraph" w:styleId="Objetducommentaire">
    <w:name w:val="annotation subject"/>
    <w:basedOn w:val="Commentaire"/>
    <w:next w:val="Commentaire"/>
    <w:link w:val="ObjetducommentaireCar"/>
    <w:uiPriority w:val="99"/>
    <w:semiHidden/>
    <w:unhideWhenUsed/>
    <w:rsid w:val="00324BB7"/>
    <w:rPr>
      <w:b/>
      <w:bCs/>
    </w:rPr>
  </w:style>
  <w:style w:type="character" w:customStyle="1" w:styleId="ObjetducommentaireCar">
    <w:name w:val="Objet du commentaire Car"/>
    <w:basedOn w:val="CommentaireCar"/>
    <w:link w:val="Objetducommentaire"/>
    <w:uiPriority w:val="99"/>
    <w:semiHidden/>
    <w:rsid w:val="00324BB7"/>
    <w:rPr>
      <w:b/>
      <w:bCs/>
      <w:sz w:val="20"/>
      <w:szCs w:val="20"/>
    </w:rPr>
  </w:style>
  <w:style w:type="paragraph" w:styleId="En-tte">
    <w:name w:val="header"/>
    <w:basedOn w:val="Normal"/>
    <w:link w:val="En-tteCar"/>
    <w:uiPriority w:val="99"/>
    <w:unhideWhenUsed/>
    <w:rsid w:val="00AF0095"/>
    <w:pPr>
      <w:tabs>
        <w:tab w:val="center" w:pos="4320"/>
        <w:tab w:val="right" w:pos="8640"/>
      </w:tabs>
      <w:spacing w:after="0" w:line="240" w:lineRule="auto"/>
    </w:pPr>
  </w:style>
  <w:style w:type="character" w:customStyle="1" w:styleId="En-tteCar">
    <w:name w:val="En-tête Car"/>
    <w:basedOn w:val="Policepardfaut"/>
    <w:link w:val="En-tte"/>
    <w:uiPriority w:val="99"/>
    <w:rsid w:val="00AF0095"/>
  </w:style>
  <w:style w:type="paragraph" w:styleId="Pieddepage">
    <w:name w:val="footer"/>
    <w:basedOn w:val="Normal"/>
    <w:link w:val="PieddepageCar"/>
    <w:uiPriority w:val="99"/>
    <w:unhideWhenUsed/>
    <w:rsid w:val="00AF0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F0095"/>
  </w:style>
  <w:style w:type="character" w:styleId="Mentionnonrsolue">
    <w:name w:val="Unresolved Mention"/>
    <w:basedOn w:val="Policepardfaut"/>
    <w:uiPriority w:val="99"/>
    <w:semiHidden/>
    <w:unhideWhenUsed/>
    <w:rsid w:val="002021D7"/>
    <w:rPr>
      <w:color w:val="605E5C"/>
      <w:shd w:val="clear" w:color="auto" w:fill="E1DFDD"/>
    </w:rPr>
  </w:style>
  <w:style w:type="paragraph" w:customStyle="1" w:styleId="paragraph">
    <w:name w:val="paragraph"/>
    <w:basedOn w:val="Normal"/>
    <w:rsid w:val="0038180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38180C"/>
  </w:style>
  <w:style w:type="character" w:customStyle="1" w:styleId="eop">
    <w:name w:val="eop"/>
    <w:basedOn w:val="Policepardfaut"/>
    <w:rsid w:val="0038180C"/>
  </w:style>
  <w:style w:type="character" w:customStyle="1" w:styleId="contextualspellingandgrammarerror">
    <w:name w:val="contextualspellingandgrammarerror"/>
    <w:basedOn w:val="Policepardfaut"/>
    <w:rsid w:val="00381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3087">
      <w:bodyDiv w:val="1"/>
      <w:marLeft w:val="0"/>
      <w:marRight w:val="0"/>
      <w:marTop w:val="0"/>
      <w:marBottom w:val="0"/>
      <w:divBdr>
        <w:top w:val="none" w:sz="0" w:space="0" w:color="auto"/>
        <w:left w:val="none" w:sz="0" w:space="0" w:color="auto"/>
        <w:bottom w:val="none" w:sz="0" w:space="0" w:color="auto"/>
        <w:right w:val="none" w:sz="0" w:space="0" w:color="auto"/>
      </w:divBdr>
      <w:divsChild>
        <w:div w:id="1729500353">
          <w:marLeft w:val="0"/>
          <w:marRight w:val="0"/>
          <w:marTop w:val="0"/>
          <w:marBottom w:val="0"/>
          <w:divBdr>
            <w:top w:val="none" w:sz="0" w:space="0" w:color="auto"/>
            <w:left w:val="none" w:sz="0" w:space="0" w:color="auto"/>
            <w:bottom w:val="none" w:sz="0" w:space="0" w:color="auto"/>
            <w:right w:val="none" w:sz="0" w:space="0" w:color="auto"/>
          </w:divBdr>
        </w:div>
        <w:div w:id="914359325">
          <w:marLeft w:val="0"/>
          <w:marRight w:val="0"/>
          <w:marTop w:val="0"/>
          <w:marBottom w:val="0"/>
          <w:divBdr>
            <w:top w:val="none" w:sz="0" w:space="0" w:color="auto"/>
            <w:left w:val="none" w:sz="0" w:space="0" w:color="auto"/>
            <w:bottom w:val="none" w:sz="0" w:space="0" w:color="auto"/>
            <w:right w:val="none" w:sz="0" w:space="0" w:color="auto"/>
          </w:divBdr>
        </w:div>
        <w:div w:id="1234658989">
          <w:marLeft w:val="0"/>
          <w:marRight w:val="0"/>
          <w:marTop w:val="0"/>
          <w:marBottom w:val="0"/>
          <w:divBdr>
            <w:top w:val="none" w:sz="0" w:space="0" w:color="auto"/>
            <w:left w:val="none" w:sz="0" w:space="0" w:color="auto"/>
            <w:bottom w:val="none" w:sz="0" w:space="0" w:color="auto"/>
            <w:right w:val="none" w:sz="0" w:space="0" w:color="auto"/>
          </w:divBdr>
        </w:div>
      </w:divsChild>
    </w:div>
    <w:div w:id="381558234">
      <w:bodyDiv w:val="1"/>
      <w:marLeft w:val="0"/>
      <w:marRight w:val="0"/>
      <w:marTop w:val="0"/>
      <w:marBottom w:val="0"/>
      <w:divBdr>
        <w:top w:val="none" w:sz="0" w:space="0" w:color="auto"/>
        <w:left w:val="none" w:sz="0" w:space="0" w:color="auto"/>
        <w:bottom w:val="none" w:sz="0" w:space="0" w:color="auto"/>
        <w:right w:val="none" w:sz="0" w:space="0" w:color="auto"/>
      </w:divBdr>
      <w:divsChild>
        <w:div w:id="1186483574">
          <w:marLeft w:val="0"/>
          <w:marRight w:val="0"/>
          <w:marTop w:val="0"/>
          <w:marBottom w:val="0"/>
          <w:divBdr>
            <w:top w:val="none" w:sz="0" w:space="0" w:color="auto"/>
            <w:left w:val="none" w:sz="0" w:space="0" w:color="auto"/>
            <w:bottom w:val="none" w:sz="0" w:space="0" w:color="auto"/>
            <w:right w:val="none" w:sz="0" w:space="0" w:color="auto"/>
          </w:divBdr>
          <w:divsChild>
            <w:div w:id="1730030770">
              <w:marLeft w:val="0"/>
              <w:marRight w:val="0"/>
              <w:marTop w:val="0"/>
              <w:marBottom w:val="0"/>
              <w:divBdr>
                <w:top w:val="none" w:sz="0" w:space="0" w:color="auto"/>
                <w:left w:val="none" w:sz="0" w:space="0" w:color="auto"/>
                <w:bottom w:val="none" w:sz="0" w:space="0" w:color="auto"/>
                <w:right w:val="none" w:sz="0" w:space="0" w:color="auto"/>
              </w:divBdr>
            </w:div>
            <w:div w:id="941036975">
              <w:marLeft w:val="0"/>
              <w:marRight w:val="0"/>
              <w:marTop w:val="0"/>
              <w:marBottom w:val="0"/>
              <w:divBdr>
                <w:top w:val="none" w:sz="0" w:space="0" w:color="auto"/>
                <w:left w:val="none" w:sz="0" w:space="0" w:color="auto"/>
                <w:bottom w:val="none" w:sz="0" w:space="0" w:color="auto"/>
                <w:right w:val="none" w:sz="0" w:space="0" w:color="auto"/>
              </w:divBdr>
            </w:div>
            <w:div w:id="1847404976">
              <w:marLeft w:val="0"/>
              <w:marRight w:val="0"/>
              <w:marTop w:val="0"/>
              <w:marBottom w:val="0"/>
              <w:divBdr>
                <w:top w:val="none" w:sz="0" w:space="0" w:color="auto"/>
                <w:left w:val="none" w:sz="0" w:space="0" w:color="auto"/>
                <w:bottom w:val="none" w:sz="0" w:space="0" w:color="auto"/>
                <w:right w:val="none" w:sz="0" w:space="0" w:color="auto"/>
              </w:divBdr>
            </w:div>
          </w:divsChild>
        </w:div>
        <w:div w:id="1995402636">
          <w:marLeft w:val="0"/>
          <w:marRight w:val="0"/>
          <w:marTop w:val="0"/>
          <w:marBottom w:val="0"/>
          <w:divBdr>
            <w:top w:val="none" w:sz="0" w:space="0" w:color="auto"/>
            <w:left w:val="none" w:sz="0" w:space="0" w:color="auto"/>
            <w:bottom w:val="none" w:sz="0" w:space="0" w:color="auto"/>
            <w:right w:val="none" w:sz="0" w:space="0" w:color="auto"/>
          </w:divBdr>
          <w:divsChild>
            <w:div w:id="847447120">
              <w:marLeft w:val="0"/>
              <w:marRight w:val="0"/>
              <w:marTop w:val="0"/>
              <w:marBottom w:val="0"/>
              <w:divBdr>
                <w:top w:val="none" w:sz="0" w:space="0" w:color="auto"/>
                <w:left w:val="none" w:sz="0" w:space="0" w:color="auto"/>
                <w:bottom w:val="none" w:sz="0" w:space="0" w:color="auto"/>
                <w:right w:val="none" w:sz="0" w:space="0" w:color="auto"/>
              </w:divBdr>
            </w:div>
            <w:div w:id="1917275856">
              <w:marLeft w:val="0"/>
              <w:marRight w:val="0"/>
              <w:marTop w:val="0"/>
              <w:marBottom w:val="0"/>
              <w:divBdr>
                <w:top w:val="none" w:sz="0" w:space="0" w:color="auto"/>
                <w:left w:val="none" w:sz="0" w:space="0" w:color="auto"/>
                <w:bottom w:val="none" w:sz="0" w:space="0" w:color="auto"/>
                <w:right w:val="none" w:sz="0" w:space="0" w:color="auto"/>
              </w:divBdr>
            </w:div>
            <w:div w:id="246883531">
              <w:marLeft w:val="0"/>
              <w:marRight w:val="0"/>
              <w:marTop w:val="0"/>
              <w:marBottom w:val="0"/>
              <w:divBdr>
                <w:top w:val="none" w:sz="0" w:space="0" w:color="auto"/>
                <w:left w:val="none" w:sz="0" w:space="0" w:color="auto"/>
                <w:bottom w:val="none" w:sz="0" w:space="0" w:color="auto"/>
                <w:right w:val="none" w:sz="0" w:space="0" w:color="auto"/>
              </w:divBdr>
            </w:div>
            <w:div w:id="370762895">
              <w:marLeft w:val="0"/>
              <w:marRight w:val="0"/>
              <w:marTop w:val="0"/>
              <w:marBottom w:val="0"/>
              <w:divBdr>
                <w:top w:val="none" w:sz="0" w:space="0" w:color="auto"/>
                <w:left w:val="none" w:sz="0" w:space="0" w:color="auto"/>
                <w:bottom w:val="none" w:sz="0" w:space="0" w:color="auto"/>
                <w:right w:val="none" w:sz="0" w:space="0" w:color="auto"/>
              </w:divBdr>
            </w:div>
          </w:divsChild>
        </w:div>
        <w:div w:id="867453634">
          <w:marLeft w:val="0"/>
          <w:marRight w:val="0"/>
          <w:marTop w:val="0"/>
          <w:marBottom w:val="0"/>
          <w:divBdr>
            <w:top w:val="none" w:sz="0" w:space="0" w:color="auto"/>
            <w:left w:val="none" w:sz="0" w:space="0" w:color="auto"/>
            <w:bottom w:val="none" w:sz="0" w:space="0" w:color="auto"/>
            <w:right w:val="none" w:sz="0" w:space="0" w:color="auto"/>
          </w:divBdr>
        </w:div>
      </w:divsChild>
    </w:div>
    <w:div w:id="1714033926">
      <w:bodyDiv w:val="1"/>
      <w:marLeft w:val="0"/>
      <w:marRight w:val="0"/>
      <w:marTop w:val="0"/>
      <w:marBottom w:val="0"/>
      <w:divBdr>
        <w:top w:val="none" w:sz="0" w:space="0" w:color="auto"/>
        <w:left w:val="none" w:sz="0" w:space="0" w:color="auto"/>
        <w:bottom w:val="none" w:sz="0" w:space="0" w:color="auto"/>
        <w:right w:val="none" w:sz="0" w:space="0" w:color="auto"/>
      </w:divBdr>
      <w:divsChild>
        <w:div w:id="749616305">
          <w:marLeft w:val="0"/>
          <w:marRight w:val="0"/>
          <w:marTop w:val="0"/>
          <w:marBottom w:val="0"/>
          <w:divBdr>
            <w:top w:val="none" w:sz="0" w:space="0" w:color="auto"/>
            <w:left w:val="none" w:sz="0" w:space="0" w:color="auto"/>
            <w:bottom w:val="none" w:sz="0" w:space="0" w:color="auto"/>
            <w:right w:val="none" w:sz="0" w:space="0" w:color="auto"/>
          </w:divBdr>
          <w:divsChild>
            <w:div w:id="236860715">
              <w:marLeft w:val="0"/>
              <w:marRight w:val="0"/>
              <w:marTop w:val="0"/>
              <w:marBottom w:val="0"/>
              <w:divBdr>
                <w:top w:val="none" w:sz="0" w:space="0" w:color="auto"/>
                <w:left w:val="none" w:sz="0" w:space="0" w:color="auto"/>
                <w:bottom w:val="none" w:sz="0" w:space="0" w:color="auto"/>
                <w:right w:val="none" w:sz="0" w:space="0" w:color="auto"/>
              </w:divBdr>
            </w:div>
            <w:div w:id="1343506933">
              <w:marLeft w:val="0"/>
              <w:marRight w:val="0"/>
              <w:marTop w:val="0"/>
              <w:marBottom w:val="0"/>
              <w:divBdr>
                <w:top w:val="none" w:sz="0" w:space="0" w:color="auto"/>
                <w:left w:val="none" w:sz="0" w:space="0" w:color="auto"/>
                <w:bottom w:val="none" w:sz="0" w:space="0" w:color="auto"/>
                <w:right w:val="none" w:sz="0" w:space="0" w:color="auto"/>
              </w:divBdr>
            </w:div>
            <w:div w:id="1589389740">
              <w:marLeft w:val="0"/>
              <w:marRight w:val="0"/>
              <w:marTop w:val="0"/>
              <w:marBottom w:val="0"/>
              <w:divBdr>
                <w:top w:val="none" w:sz="0" w:space="0" w:color="auto"/>
                <w:left w:val="none" w:sz="0" w:space="0" w:color="auto"/>
                <w:bottom w:val="none" w:sz="0" w:space="0" w:color="auto"/>
                <w:right w:val="none" w:sz="0" w:space="0" w:color="auto"/>
              </w:divBdr>
            </w:div>
          </w:divsChild>
        </w:div>
        <w:div w:id="1021664350">
          <w:marLeft w:val="0"/>
          <w:marRight w:val="0"/>
          <w:marTop w:val="0"/>
          <w:marBottom w:val="0"/>
          <w:divBdr>
            <w:top w:val="none" w:sz="0" w:space="0" w:color="auto"/>
            <w:left w:val="none" w:sz="0" w:space="0" w:color="auto"/>
            <w:bottom w:val="none" w:sz="0" w:space="0" w:color="auto"/>
            <w:right w:val="none" w:sz="0" w:space="0" w:color="auto"/>
          </w:divBdr>
          <w:divsChild>
            <w:div w:id="2042851668">
              <w:marLeft w:val="0"/>
              <w:marRight w:val="0"/>
              <w:marTop w:val="0"/>
              <w:marBottom w:val="0"/>
              <w:divBdr>
                <w:top w:val="none" w:sz="0" w:space="0" w:color="auto"/>
                <w:left w:val="none" w:sz="0" w:space="0" w:color="auto"/>
                <w:bottom w:val="none" w:sz="0" w:space="0" w:color="auto"/>
                <w:right w:val="none" w:sz="0" w:space="0" w:color="auto"/>
              </w:divBdr>
            </w:div>
            <w:div w:id="1268153297">
              <w:marLeft w:val="0"/>
              <w:marRight w:val="0"/>
              <w:marTop w:val="0"/>
              <w:marBottom w:val="0"/>
              <w:divBdr>
                <w:top w:val="none" w:sz="0" w:space="0" w:color="auto"/>
                <w:left w:val="none" w:sz="0" w:space="0" w:color="auto"/>
                <w:bottom w:val="none" w:sz="0" w:space="0" w:color="auto"/>
                <w:right w:val="none" w:sz="0" w:space="0" w:color="auto"/>
              </w:divBdr>
            </w:div>
            <w:div w:id="536163035">
              <w:marLeft w:val="0"/>
              <w:marRight w:val="0"/>
              <w:marTop w:val="0"/>
              <w:marBottom w:val="0"/>
              <w:divBdr>
                <w:top w:val="none" w:sz="0" w:space="0" w:color="auto"/>
                <w:left w:val="none" w:sz="0" w:space="0" w:color="auto"/>
                <w:bottom w:val="none" w:sz="0" w:space="0" w:color="auto"/>
                <w:right w:val="none" w:sz="0" w:space="0" w:color="auto"/>
              </w:divBdr>
            </w:div>
            <w:div w:id="127361182">
              <w:marLeft w:val="0"/>
              <w:marRight w:val="0"/>
              <w:marTop w:val="0"/>
              <w:marBottom w:val="0"/>
              <w:divBdr>
                <w:top w:val="none" w:sz="0" w:space="0" w:color="auto"/>
                <w:left w:val="none" w:sz="0" w:space="0" w:color="auto"/>
                <w:bottom w:val="none" w:sz="0" w:space="0" w:color="auto"/>
                <w:right w:val="none" w:sz="0" w:space="0" w:color="auto"/>
              </w:divBdr>
            </w:div>
          </w:divsChild>
        </w:div>
        <w:div w:id="813571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ps@fqsa.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ED0884A6647E43B131525B6489C3DD" ma:contentTypeVersion="12" ma:contentTypeDescription="Create a new document." ma:contentTypeScope="" ma:versionID="38c4910d8576d13c6ee2de9c0ed743b0">
  <xsd:schema xmlns:xsd="http://www.w3.org/2001/XMLSchema" xmlns:xs="http://www.w3.org/2001/XMLSchema" xmlns:p="http://schemas.microsoft.com/office/2006/metadata/properties" xmlns:ns1="http://schemas.microsoft.com/sharepoint/v3" xmlns:ns2="4035ec12-f6d0-477e-9610-2c867e910c20" xmlns:ns3="d21b38d4-148f-42c2-99b2-2fa9fc20ce4e" targetNamespace="http://schemas.microsoft.com/office/2006/metadata/properties" ma:root="true" ma:fieldsID="5aee21b7acbc9244c74503acc87ce07a" ns1:_="" ns2:_="" ns3:_="">
    <xsd:import namespace="http://schemas.microsoft.com/sharepoint/v3"/>
    <xsd:import namespace="4035ec12-f6d0-477e-9610-2c867e910c20"/>
    <xsd:import namespace="d21b38d4-148f-42c2-99b2-2fa9fc20ce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5ec12-f6d0-477e-9610-2c867e910c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1b38d4-148f-42c2-99b2-2fa9fc20ce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BD1B3-10C8-4875-92DC-69217D91441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332E48-208C-4FFD-BF4B-38246554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35ec12-f6d0-477e-9610-2c867e910c20"/>
    <ds:schemaRef ds:uri="d21b38d4-148f-42c2-99b2-2fa9fc20c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FD440D-2EE8-4094-AF63-F0A0FD27FDCC}">
  <ds:schemaRefs>
    <ds:schemaRef ds:uri="http://schemas.microsoft.com/sharepoint/v3/contenttype/forms"/>
  </ds:schemaRefs>
</ds:datastoreItem>
</file>

<file path=customXml/itemProps4.xml><?xml version="1.0" encoding="utf-8"?>
<ds:datastoreItem xmlns:ds="http://schemas.openxmlformats.org/officeDocument/2006/customXml" ds:itemID="{370F5C5B-374D-4DAD-8344-1EE30A29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1504</Words>
  <Characters>8272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Dalie Côté-Vaillancourt</dc:creator>
  <cp:keywords/>
  <dc:description/>
  <cp:lastModifiedBy>Teddy Florin</cp:lastModifiedBy>
  <cp:revision>9</cp:revision>
  <cp:lastPrinted>2018-01-25T14:51:00Z</cp:lastPrinted>
  <dcterms:created xsi:type="dcterms:W3CDTF">2019-02-13T19:19:00Z</dcterms:created>
  <dcterms:modified xsi:type="dcterms:W3CDTF">2019-11-06T19:42:00Z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0x010100D8ED0884A6647E43B131525B6489C3DD</vt:lpwstr>
  </property>
</Properties>
</file>